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9C651" w14:textId="77777777" w:rsidR="00185251" w:rsidRDefault="00185251" w:rsidP="00F15941">
      <w:pPr>
        <w:pStyle w:val="Subtitle"/>
        <w:jc w:val="left"/>
        <w:rPr>
          <w:rFonts w:ascii="Arial" w:hAnsi="Arial" w:cs="Arial"/>
          <w:sz w:val="24"/>
          <w:szCs w:val="24"/>
        </w:rPr>
      </w:pPr>
    </w:p>
    <w:p w14:paraId="6A59CABE" w14:textId="77777777" w:rsidR="00185251" w:rsidRDefault="00185251" w:rsidP="0005173D">
      <w:pPr>
        <w:pStyle w:val="Subtitle"/>
        <w:jc w:val="left"/>
        <w:rPr>
          <w:rFonts w:ascii="Arial" w:hAnsi="Arial" w:cs="Arial"/>
          <w:sz w:val="24"/>
          <w:szCs w:val="24"/>
        </w:rPr>
      </w:pPr>
    </w:p>
    <w:p w14:paraId="4A3B4590" w14:textId="77777777" w:rsidR="00185251" w:rsidRDefault="00185251" w:rsidP="00F15941">
      <w:pPr>
        <w:pStyle w:val="Subtitle"/>
        <w:jc w:val="left"/>
        <w:rPr>
          <w:rFonts w:ascii="Arial" w:hAnsi="Arial" w:cs="Arial"/>
          <w:sz w:val="24"/>
          <w:szCs w:val="24"/>
        </w:rPr>
      </w:pPr>
    </w:p>
    <w:p w14:paraId="5EE87EDA" w14:textId="77777777" w:rsidR="00185251" w:rsidRDefault="00185251" w:rsidP="00F15941">
      <w:pPr>
        <w:pStyle w:val="Subtitle"/>
        <w:jc w:val="left"/>
        <w:rPr>
          <w:rFonts w:ascii="Arial" w:hAnsi="Arial" w:cs="Arial"/>
          <w:sz w:val="24"/>
          <w:szCs w:val="24"/>
        </w:rPr>
      </w:pPr>
    </w:p>
    <w:p w14:paraId="18574D5C" w14:textId="77777777" w:rsidR="00494532" w:rsidRPr="001D06DE" w:rsidRDefault="00494532" w:rsidP="001D06DE"/>
    <w:p w14:paraId="683F85EE" w14:textId="77777777" w:rsidR="00494532" w:rsidRPr="001D06DE" w:rsidRDefault="00494532" w:rsidP="001D06DE"/>
    <w:p w14:paraId="6801EE8C" w14:textId="77777777" w:rsidR="00351BC2" w:rsidRDefault="00351BC2" w:rsidP="00351BC2">
      <w:pPr>
        <w:rPr>
          <w:rFonts w:ascii="Arial Narrow" w:hAnsi="Arial Narrow"/>
          <w:sz w:val="64"/>
          <w:szCs w:val="64"/>
        </w:rPr>
      </w:pPr>
      <w:r w:rsidRPr="004E5D04">
        <w:rPr>
          <w:rFonts w:ascii="Arial Narrow" w:hAnsi="Arial Narrow"/>
          <w:sz w:val="64"/>
          <w:szCs w:val="64"/>
        </w:rPr>
        <w:t>Invitation to Tender</w:t>
      </w:r>
    </w:p>
    <w:p w14:paraId="2D297110" w14:textId="77777777" w:rsidR="00817C1A" w:rsidRPr="004E5D04" w:rsidRDefault="00817C1A" w:rsidP="00351BC2">
      <w:pPr>
        <w:rPr>
          <w:rFonts w:ascii="Arial Narrow" w:hAnsi="Arial Narrow"/>
          <w:sz w:val="64"/>
          <w:szCs w:val="64"/>
        </w:rPr>
      </w:pPr>
      <w:r>
        <w:rPr>
          <w:rFonts w:ascii="Arial Narrow" w:hAnsi="Arial Narrow"/>
          <w:sz w:val="64"/>
          <w:szCs w:val="64"/>
        </w:rPr>
        <w:t>S</w:t>
      </w:r>
      <w:r w:rsidR="005F2E92">
        <w:rPr>
          <w:rFonts w:ascii="Arial Narrow" w:hAnsi="Arial Narrow"/>
          <w:sz w:val="64"/>
          <w:szCs w:val="64"/>
        </w:rPr>
        <w:t xml:space="preserve">ystem </w:t>
      </w:r>
      <w:r>
        <w:rPr>
          <w:rFonts w:ascii="Arial Narrow" w:hAnsi="Arial Narrow"/>
          <w:sz w:val="64"/>
          <w:szCs w:val="64"/>
        </w:rPr>
        <w:t>R</w:t>
      </w:r>
      <w:r w:rsidR="005F2E92">
        <w:rPr>
          <w:rFonts w:ascii="Arial Narrow" w:hAnsi="Arial Narrow"/>
          <w:sz w:val="64"/>
          <w:szCs w:val="64"/>
        </w:rPr>
        <w:t xml:space="preserve">estart </w:t>
      </w:r>
      <w:r>
        <w:rPr>
          <w:rFonts w:ascii="Arial Narrow" w:hAnsi="Arial Narrow"/>
          <w:sz w:val="64"/>
          <w:szCs w:val="64"/>
        </w:rPr>
        <w:t>A</w:t>
      </w:r>
      <w:r w:rsidR="005F2E92">
        <w:rPr>
          <w:rFonts w:ascii="Arial Narrow" w:hAnsi="Arial Narrow"/>
          <w:sz w:val="64"/>
          <w:szCs w:val="64"/>
        </w:rPr>
        <w:t xml:space="preserve">ncillary </w:t>
      </w:r>
      <w:r>
        <w:rPr>
          <w:rFonts w:ascii="Arial Narrow" w:hAnsi="Arial Narrow"/>
          <w:sz w:val="64"/>
          <w:szCs w:val="64"/>
        </w:rPr>
        <w:t>S</w:t>
      </w:r>
      <w:r w:rsidR="005F2E92">
        <w:rPr>
          <w:rFonts w:ascii="Arial Narrow" w:hAnsi="Arial Narrow"/>
          <w:sz w:val="64"/>
          <w:szCs w:val="64"/>
        </w:rPr>
        <w:t>ervices</w:t>
      </w:r>
    </w:p>
    <w:p w14:paraId="29E3447C" w14:textId="77777777" w:rsidR="00494532" w:rsidRPr="001D06DE" w:rsidRDefault="00494532" w:rsidP="001D06DE"/>
    <w:p w14:paraId="0EC72271" w14:textId="77777777" w:rsidR="00351BC2" w:rsidRDefault="00351BC2" w:rsidP="00494532">
      <w:pPr>
        <w:rPr>
          <w:b/>
          <w:sz w:val="32"/>
          <w:szCs w:val="32"/>
        </w:rPr>
      </w:pPr>
    </w:p>
    <w:p w14:paraId="0880F0EB" w14:textId="77777777" w:rsidR="00494532" w:rsidRPr="00A81D46" w:rsidRDefault="00494532" w:rsidP="00494532">
      <w:pPr>
        <w:rPr>
          <w:rFonts w:ascii="Arial Narrow" w:hAnsi="Arial Narrow"/>
          <w:b/>
          <w:sz w:val="32"/>
          <w:szCs w:val="32"/>
        </w:rPr>
      </w:pPr>
      <w:r w:rsidRPr="00A81D46">
        <w:rPr>
          <w:rFonts w:ascii="Arial Narrow" w:hAnsi="Arial Narrow"/>
          <w:b/>
          <w:sz w:val="32"/>
          <w:szCs w:val="32"/>
        </w:rPr>
        <w:t>DETAILS</w:t>
      </w:r>
    </w:p>
    <w:tbl>
      <w:tblPr>
        <w:tblpPr w:leftFromText="180" w:rightFromText="180" w:vertAnchor="text" w:horzAnchor="margin" w:tblpY="198"/>
        <w:tblW w:w="7088" w:type="dxa"/>
        <w:tblLayout w:type="fixed"/>
        <w:tblLook w:val="0000" w:firstRow="0" w:lastRow="0" w:firstColumn="0" w:lastColumn="0" w:noHBand="0" w:noVBand="0"/>
      </w:tblPr>
      <w:tblGrid>
        <w:gridCol w:w="2835"/>
        <w:gridCol w:w="4253"/>
      </w:tblGrid>
      <w:tr w:rsidR="00351BC2" w:rsidRPr="00A81D46" w14:paraId="3E0C12CF" w14:textId="77777777" w:rsidTr="1E4B98E1">
        <w:trPr>
          <w:cantSplit/>
        </w:trPr>
        <w:tc>
          <w:tcPr>
            <w:tcW w:w="2835" w:type="dxa"/>
          </w:tcPr>
          <w:p w14:paraId="55A70CC2" w14:textId="77777777" w:rsidR="00351BC2" w:rsidRPr="00A81D46" w:rsidRDefault="00FE557F" w:rsidP="00351BC2">
            <w:pPr>
              <w:widowControl w:val="0"/>
              <w:rPr>
                <w:rFonts w:ascii="Arial Narrow" w:hAnsi="Arial Narrow" w:cs="Arial"/>
                <w:b/>
                <w:szCs w:val="22"/>
              </w:rPr>
            </w:pPr>
            <w:r>
              <w:rPr>
                <w:rFonts w:ascii="Arial Narrow" w:hAnsi="Arial Narrow" w:cs="Arial"/>
                <w:b/>
                <w:szCs w:val="22"/>
              </w:rPr>
              <w:t>Services</w:t>
            </w:r>
            <w:r w:rsidR="00351BC2" w:rsidRPr="00A81D46">
              <w:rPr>
                <w:rFonts w:ascii="Arial Narrow" w:hAnsi="Arial Narrow" w:cs="Arial"/>
                <w:b/>
                <w:szCs w:val="22"/>
              </w:rPr>
              <w:t>:</w:t>
            </w:r>
          </w:p>
        </w:tc>
        <w:tc>
          <w:tcPr>
            <w:tcW w:w="4253" w:type="dxa"/>
            <w:tcBorders>
              <w:top w:val="single" w:sz="6" w:space="0" w:color="auto"/>
              <w:left w:val="single" w:sz="6" w:space="0" w:color="auto"/>
              <w:bottom w:val="single" w:sz="6" w:space="0" w:color="auto"/>
              <w:right w:val="single" w:sz="6" w:space="0" w:color="auto"/>
            </w:tcBorders>
            <w:shd w:val="clear" w:color="auto" w:fill="auto"/>
          </w:tcPr>
          <w:p w14:paraId="04A160D2" w14:textId="43D37ED6" w:rsidR="00351BC2" w:rsidRPr="00A81D46" w:rsidRDefault="003A1331" w:rsidP="00351BC2">
            <w:pPr>
              <w:widowControl w:val="0"/>
              <w:rPr>
                <w:rFonts w:ascii="Arial Narrow" w:hAnsi="Arial Narrow" w:cs="Arial"/>
                <w:szCs w:val="22"/>
              </w:rPr>
            </w:pPr>
            <w:r>
              <w:rPr>
                <w:rFonts w:ascii="Arial Narrow" w:hAnsi="Arial Narrow" w:cs="Arial"/>
                <w:szCs w:val="22"/>
              </w:rPr>
              <w:t>System Restart Ancillary Services for all electrical sub-networks in the NEM</w:t>
            </w:r>
          </w:p>
        </w:tc>
      </w:tr>
      <w:tr w:rsidR="00351BC2" w:rsidRPr="00A81D46" w14:paraId="0E2C0991" w14:textId="77777777" w:rsidTr="1E4B98E1">
        <w:trPr>
          <w:cantSplit/>
        </w:trPr>
        <w:tc>
          <w:tcPr>
            <w:tcW w:w="2835" w:type="dxa"/>
          </w:tcPr>
          <w:p w14:paraId="703A63B7" w14:textId="77777777" w:rsidR="00351BC2" w:rsidRPr="00A81D46" w:rsidRDefault="00351BC2" w:rsidP="00351BC2">
            <w:pPr>
              <w:widowControl w:val="0"/>
              <w:rPr>
                <w:rFonts w:ascii="Arial Narrow" w:hAnsi="Arial Narrow" w:cs="Arial"/>
                <w:b/>
                <w:szCs w:val="22"/>
              </w:rPr>
            </w:pPr>
          </w:p>
        </w:tc>
        <w:tc>
          <w:tcPr>
            <w:tcW w:w="4253" w:type="dxa"/>
          </w:tcPr>
          <w:p w14:paraId="0B105F7E" w14:textId="77777777" w:rsidR="00351BC2" w:rsidRPr="00A81D46" w:rsidRDefault="00351BC2" w:rsidP="00351BC2">
            <w:pPr>
              <w:widowControl w:val="0"/>
              <w:rPr>
                <w:rFonts w:ascii="Arial Narrow" w:hAnsi="Arial Narrow" w:cs="Arial"/>
                <w:szCs w:val="22"/>
              </w:rPr>
            </w:pPr>
          </w:p>
        </w:tc>
      </w:tr>
      <w:tr w:rsidR="00351BC2" w:rsidRPr="00A81D46" w14:paraId="064E4D1D" w14:textId="77777777" w:rsidTr="1E4B98E1">
        <w:trPr>
          <w:cantSplit/>
        </w:trPr>
        <w:tc>
          <w:tcPr>
            <w:tcW w:w="2835" w:type="dxa"/>
          </w:tcPr>
          <w:p w14:paraId="4A77BA45" w14:textId="77777777" w:rsidR="00351BC2" w:rsidRPr="00A81D46" w:rsidRDefault="00351BC2" w:rsidP="00351BC2">
            <w:pPr>
              <w:widowControl w:val="0"/>
              <w:rPr>
                <w:rFonts w:ascii="Arial Narrow" w:hAnsi="Arial Narrow" w:cs="Arial"/>
                <w:b/>
                <w:szCs w:val="22"/>
              </w:rPr>
            </w:pPr>
            <w:r w:rsidRPr="00A81D46">
              <w:rPr>
                <w:rFonts w:ascii="Arial Narrow" w:hAnsi="Arial Narrow" w:cs="Arial"/>
                <w:b/>
                <w:szCs w:val="22"/>
              </w:rPr>
              <w:t>ITT No:</w:t>
            </w:r>
          </w:p>
        </w:tc>
        <w:tc>
          <w:tcPr>
            <w:tcW w:w="4253" w:type="dxa"/>
            <w:tcBorders>
              <w:top w:val="single" w:sz="6" w:space="0" w:color="auto"/>
              <w:left w:val="single" w:sz="6" w:space="0" w:color="auto"/>
              <w:bottom w:val="single" w:sz="8" w:space="0" w:color="auto"/>
              <w:right w:val="single" w:sz="6" w:space="0" w:color="auto"/>
            </w:tcBorders>
            <w:shd w:val="clear" w:color="auto" w:fill="auto"/>
          </w:tcPr>
          <w:p w14:paraId="6E31C48D" w14:textId="63456295" w:rsidR="00351BC2" w:rsidRPr="00A81D46" w:rsidRDefault="004D0A04" w:rsidP="00351BC2">
            <w:pPr>
              <w:widowControl w:val="0"/>
              <w:rPr>
                <w:rFonts w:ascii="Arial Narrow" w:hAnsi="Arial Narrow" w:cs="Arial"/>
                <w:szCs w:val="22"/>
              </w:rPr>
            </w:pPr>
            <w:r>
              <w:rPr>
                <w:rFonts w:ascii="Arial Narrow" w:hAnsi="Arial Narrow" w:cs="Arial"/>
                <w:szCs w:val="22"/>
              </w:rPr>
              <w:t>14489</w:t>
            </w:r>
          </w:p>
        </w:tc>
      </w:tr>
      <w:tr w:rsidR="00351BC2" w:rsidRPr="00A81D46" w14:paraId="3F324839" w14:textId="77777777" w:rsidTr="1E4B98E1">
        <w:trPr>
          <w:cantSplit/>
          <w:trHeight w:val="360"/>
        </w:trPr>
        <w:tc>
          <w:tcPr>
            <w:tcW w:w="2835" w:type="dxa"/>
          </w:tcPr>
          <w:p w14:paraId="04F0F6A1" w14:textId="77777777" w:rsidR="00351BC2" w:rsidRPr="00A81D46" w:rsidRDefault="00351BC2" w:rsidP="00351BC2">
            <w:pPr>
              <w:widowControl w:val="0"/>
              <w:rPr>
                <w:rFonts w:ascii="Arial Narrow" w:hAnsi="Arial Narrow" w:cs="Arial"/>
                <w:b/>
                <w:szCs w:val="22"/>
              </w:rPr>
            </w:pPr>
          </w:p>
        </w:tc>
        <w:tc>
          <w:tcPr>
            <w:tcW w:w="4253" w:type="dxa"/>
            <w:tcBorders>
              <w:top w:val="single" w:sz="8" w:space="0" w:color="auto"/>
            </w:tcBorders>
          </w:tcPr>
          <w:p w14:paraId="2B322E98" w14:textId="77777777" w:rsidR="00351BC2" w:rsidRPr="00A81D46" w:rsidRDefault="00351BC2" w:rsidP="00351BC2">
            <w:pPr>
              <w:widowControl w:val="0"/>
              <w:rPr>
                <w:rFonts w:ascii="Arial Narrow" w:hAnsi="Arial Narrow" w:cs="Arial"/>
                <w:b/>
                <w:szCs w:val="22"/>
              </w:rPr>
            </w:pPr>
          </w:p>
        </w:tc>
      </w:tr>
      <w:tr w:rsidR="00351BC2" w:rsidRPr="00A81D46" w14:paraId="3B381A21" w14:textId="77777777" w:rsidTr="1E4B98E1">
        <w:trPr>
          <w:cantSplit/>
        </w:trPr>
        <w:tc>
          <w:tcPr>
            <w:tcW w:w="2835" w:type="dxa"/>
          </w:tcPr>
          <w:p w14:paraId="070985BB" w14:textId="2D575A30" w:rsidR="00351BC2" w:rsidRPr="00A81D46" w:rsidRDefault="00817C1A" w:rsidP="00351BC2">
            <w:pPr>
              <w:widowControl w:val="0"/>
              <w:rPr>
                <w:rFonts w:ascii="Arial Narrow" w:hAnsi="Arial Narrow" w:cs="Arial"/>
                <w:b/>
                <w:szCs w:val="22"/>
              </w:rPr>
            </w:pPr>
            <w:r>
              <w:rPr>
                <w:rFonts w:ascii="Arial Narrow" w:hAnsi="Arial Narrow" w:cs="Arial"/>
                <w:b/>
                <w:szCs w:val="22"/>
              </w:rPr>
              <w:t xml:space="preserve">AEMO SRAS </w:t>
            </w:r>
            <w:r w:rsidR="00E84DC6">
              <w:rPr>
                <w:rFonts w:ascii="Arial Narrow" w:hAnsi="Arial Narrow" w:cs="Arial"/>
                <w:b/>
                <w:szCs w:val="22"/>
              </w:rPr>
              <w:t>Projec</w:t>
            </w:r>
            <w:r w:rsidR="0078680E">
              <w:rPr>
                <w:rFonts w:ascii="Arial Narrow" w:hAnsi="Arial Narrow" w:cs="Arial"/>
                <w:b/>
                <w:szCs w:val="22"/>
              </w:rPr>
              <w:t xml:space="preserve">t </w:t>
            </w:r>
            <w:r>
              <w:rPr>
                <w:rFonts w:ascii="Arial Narrow" w:hAnsi="Arial Narrow" w:cs="Arial"/>
                <w:b/>
                <w:szCs w:val="22"/>
              </w:rPr>
              <w:t>Manager</w:t>
            </w:r>
            <w:r w:rsidR="00351BC2" w:rsidRPr="00A81D46">
              <w:rPr>
                <w:rFonts w:ascii="Arial Narrow" w:hAnsi="Arial Narrow" w:cs="Arial"/>
                <w:b/>
                <w:szCs w:val="22"/>
              </w:rPr>
              <w:t>:</w:t>
            </w:r>
          </w:p>
        </w:tc>
        <w:tc>
          <w:tcPr>
            <w:tcW w:w="4253" w:type="dxa"/>
            <w:tcBorders>
              <w:top w:val="single" w:sz="6" w:space="0" w:color="auto"/>
              <w:left w:val="single" w:sz="6" w:space="0" w:color="auto"/>
              <w:bottom w:val="single" w:sz="6" w:space="0" w:color="auto"/>
              <w:right w:val="single" w:sz="6" w:space="0" w:color="auto"/>
            </w:tcBorders>
            <w:shd w:val="clear" w:color="auto" w:fill="auto"/>
          </w:tcPr>
          <w:p w14:paraId="4E839EBF" w14:textId="4FE6631C" w:rsidR="00351BC2" w:rsidRPr="00A81D46" w:rsidRDefault="0078680E" w:rsidP="00351BC2">
            <w:pPr>
              <w:widowControl w:val="0"/>
              <w:rPr>
                <w:rFonts w:ascii="Arial Narrow" w:hAnsi="Arial Narrow" w:cs="Arial"/>
                <w:szCs w:val="22"/>
              </w:rPr>
            </w:pPr>
            <w:r>
              <w:rPr>
                <w:rFonts w:ascii="Arial Narrow" w:hAnsi="Arial Narrow" w:cs="Arial"/>
                <w:szCs w:val="22"/>
              </w:rPr>
              <w:t>Ben Macey</w:t>
            </w:r>
            <w:r w:rsidR="000A5F24">
              <w:rPr>
                <w:rFonts w:ascii="Arial Narrow" w:hAnsi="Arial Narrow" w:cs="Arial"/>
                <w:szCs w:val="22"/>
              </w:rPr>
              <w:t xml:space="preserve">, </w:t>
            </w:r>
            <w:r>
              <w:rPr>
                <w:rFonts w:ascii="Arial Narrow" w:hAnsi="Arial Narrow" w:cs="Arial"/>
                <w:szCs w:val="22"/>
              </w:rPr>
              <w:t xml:space="preserve">Operations </w:t>
            </w:r>
            <w:r w:rsidR="00546225">
              <w:rPr>
                <w:rFonts w:ascii="Arial Narrow" w:hAnsi="Arial Narrow" w:cs="Arial"/>
                <w:szCs w:val="22"/>
              </w:rPr>
              <w:t>Commercial</w:t>
            </w:r>
            <w:r>
              <w:rPr>
                <w:rFonts w:ascii="Arial Narrow" w:hAnsi="Arial Narrow" w:cs="Arial"/>
                <w:szCs w:val="22"/>
              </w:rPr>
              <w:t xml:space="preserve"> Lead</w:t>
            </w:r>
          </w:p>
          <w:p w14:paraId="52FFD26A" w14:textId="327D0F36" w:rsidR="00351BC2" w:rsidRPr="00A81D46" w:rsidRDefault="003A1331" w:rsidP="1E4B98E1">
            <w:pPr>
              <w:widowControl w:val="0"/>
              <w:rPr>
                <w:rFonts w:ascii="Arial Narrow" w:hAnsi="Arial Narrow" w:cs="Arial"/>
              </w:rPr>
            </w:pPr>
            <w:r w:rsidRPr="1E4B98E1">
              <w:rPr>
                <w:rFonts w:ascii="Arial Narrow" w:hAnsi="Arial Narrow" w:cs="Arial"/>
              </w:rPr>
              <w:t xml:space="preserve">Contact: </w:t>
            </w:r>
            <w:r w:rsidR="0071384D" w:rsidRPr="0071384D">
              <w:rPr>
                <w:rFonts w:ascii="Arial Narrow" w:hAnsi="Arial Narrow" w:cs="Arial"/>
              </w:rPr>
              <w:t>SRAS.procurement@aemo.com.au</w:t>
            </w:r>
          </w:p>
        </w:tc>
      </w:tr>
      <w:tr w:rsidR="00351BC2" w:rsidRPr="00A81D46" w14:paraId="114898F2" w14:textId="77777777" w:rsidTr="1E4B98E1">
        <w:trPr>
          <w:cantSplit/>
        </w:trPr>
        <w:tc>
          <w:tcPr>
            <w:tcW w:w="2835" w:type="dxa"/>
          </w:tcPr>
          <w:p w14:paraId="724F33DC" w14:textId="77777777" w:rsidR="00351BC2" w:rsidRPr="00A81D46" w:rsidRDefault="00351BC2" w:rsidP="00351BC2">
            <w:pPr>
              <w:widowControl w:val="0"/>
              <w:rPr>
                <w:rFonts w:ascii="Arial Narrow" w:hAnsi="Arial Narrow" w:cs="Arial"/>
                <w:b/>
                <w:szCs w:val="22"/>
              </w:rPr>
            </w:pPr>
          </w:p>
        </w:tc>
        <w:tc>
          <w:tcPr>
            <w:tcW w:w="4253" w:type="dxa"/>
          </w:tcPr>
          <w:p w14:paraId="638570E3" w14:textId="77777777" w:rsidR="00351BC2" w:rsidRPr="00A81D46" w:rsidRDefault="00351BC2" w:rsidP="00351BC2">
            <w:pPr>
              <w:widowControl w:val="0"/>
              <w:rPr>
                <w:rFonts w:ascii="Arial Narrow" w:hAnsi="Arial Narrow" w:cs="Arial"/>
                <w:b/>
                <w:szCs w:val="22"/>
              </w:rPr>
            </w:pPr>
          </w:p>
        </w:tc>
      </w:tr>
      <w:tr w:rsidR="00351BC2" w:rsidRPr="00A81D46" w14:paraId="22636FEB" w14:textId="77777777" w:rsidTr="1E4B98E1">
        <w:trPr>
          <w:cantSplit/>
        </w:trPr>
        <w:tc>
          <w:tcPr>
            <w:tcW w:w="2835" w:type="dxa"/>
          </w:tcPr>
          <w:p w14:paraId="292045A5" w14:textId="77777777" w:rsidR="00351BC2" w:rsidRPr="00A81D46" w:rsidRDefault="00351BC2" w:rsidP="00351BC2">
            <w:pPr>
              <w:widowControl w:val="0"/>
              <w:rPr>
                <w:rFonts w:ascii="Arial Narrow" w:hAnsi="Arial Narrow" w:cs="Arial"/>
                <w:b/>
                <w:szCs w:val="22"/>
              </w:rPr>
            </w:pPr>
            <w:r w:rsidRPr="00A81D46">
              <w:rPr>
                <w:rFonts w:ascii="Arial Narrow" w:hAnsi="Arial Narrow" w:cs="Arial"/>
                <w:b/>
                <w:szCs w:val="22"/>
              </w:rPr>
              <w:t>Closing Date:</w:t>
            </w:r>
          </w:p>
        </w:tc>
        <w:tc>
          <w:tcPr>
            <w:tcW w:w="4253" w:type="dxa"/>
            <w:tcBorders>
              <w:top w:val="single" w:sz="6" w:space="0" w:color="auto"/>
              <w:left w:val="single" w:sz="6" w:space="0" w:color="auto"/>
              <w:bottom w:val="single" w:sz="6" w:space="0" w:color="auto"/>
              <w:right w:val="single" w:sz="6" w:space="0" w:color="auto"/>
            </w:tcBorders>
            <w:shd w:val="clear" w:color="auto" w:fill="auto"/>
          </w:tcPr>
          <w:p w14:paraId="5DDF77DE" w14:textId="5D3CF28D" w:rsidR="000D1E0A" w:rsidRPr="000D1E0A" w:rsidRDefault="000D1E0A" w:rsidP="000D1E0A">
            <w:pPr>
              <w:widowControl w:val="0"/>
              <w:rPr>
                <w:rFonts w:ascii="Arial Narrow" w:hAnsi="Arial Narrow" w:cs="Arial"/>
                <w:szCs w:val="22"/>
              </w:rPr>
            </w:pPr>
            <w:r w:rsidRPr="003B3541">
              <w:rPr>
                <w:rFonts w:ascii="Arial Narrow" w:hAnsi="Arial Narrow" w:cs="Arial"/>
                <w:szCs w:val="22"/>
              </w:rPr>
              <w:t xml:space="preserve">Tenders due by 5:00 pm Melbourne time on </w:t>
            </w:r>
            <w:r w:rsidR="00D32E1B" w:rsidRPr="003B3541">
              <w:rPr>
                <w:rFonts w:ascii="Arial Narrow" w:hAnsi="Arial Narrow" w:cs="Arial"/>
                <w:szCs w:val="22"/>
              </w:rPr>
              <w:t>1</w:t>
            </w:r>
            <w:r w:rsidRPr="003B3541">
              <w:rPr>
                <w:rFonts w:ascii="Arial Narrow" w:hAnsi="Arial Narrow" w:cs="Arial"/>
                <w:szCs w:val="22"/>
              </w:rPr>
              <w:t>6 June 2023.</w:t>
            </w:r>
          </w:p>
          <w:p w14:paraId="61065B95" w14:textId="05FE5424" w:rsidR="000D1E0A" w:rsidRPr="000D1E0A" w:rsidRDefault="000D1E0A" w:rsidP="000D1E0A">
            <w:pPr>
              <w:widowControl w:val="0"/>
              <w:rPr>
                <w:rFonts w:ascii="Arial Narrow" w:hAnsi="Arial Narrow" w:cs="Arial"/>
                <w:szCs w:val="22"/>
              </w:rPr>
            </w:pPr>
            <w:r w:rsidRPr="000D1E0A">
              <w:rPr>
                <w:rFonts w:ascii="Arial Narrow" w:hAnsi="Arial Narrow" w:cs="Arial"/>
                <w:szCs w:val="22"/>
              </w:rPr>
              <w:t xml:space="preserve">Tenders to be emailed to </w:t>
            </w:r>
            <w:r w:rsidR="00B17D7D" w:rsidRPr="006611AB">
              <w:t xml:space="preserve"> </w:t>
            </w:r>
            <w:r w:rsidR="00B17D7D" w:rsidRPr="00DC522A">
              <w:rPr>
                <w:rFonts w:ascii="Arial Narrow" w:hAnsi="Arial Narrow" w:cs="Arial"/>
                <w:szCs w:val="22"/>
              </w:rPr>
              <w:t>SRAS.procurement@aemo.com.au</w:t>
            </w:r>
            <w:r w:rsidR="00B17D7D">
              <w:rPr>
                <w:rFonts w:ascii="Arial Narrow" w:hAnsi="Arial Narrow" w:cs="Arial"/>
                <w:szCs w:val="22"/>
              </w:rPr>
              <w:t>.</w:t>
            </w:r>
          </w:p>
          <w:p w14:paraId="561C9A97" w14:textId="58C257B1" w:rsidR="00351BC2" w:rsidRPr="00A81D46" w:rsidRDefault="000D1E0A" w:rsidP="000D1E0A">
            <w:pPr>
              <w:widowControl w:val="0"/>
              <w:rPr>
                <w:rFonts w:ascii="Arial Narrow" w:hAnsi="Arial Narrow" w:cs="Arial"/>
                <w:szCs w:val="22"/>
              </w:rPr>
            </w:pPr>
            <w:r w:rsidRPr="000D1E0A">
              <w:rPr>
                <w:rFonts w:ascii="Arial Narrow" w:hAnsi="Arial Narrow" w:cs="Arial"/>
                <w:szCs w:val="22"/>
              </w:rPr>
              <w:t xml:space="preserve">Note: emailed submissions are subject to a per email size limit of </w:t>
            </w:r>
            <w:r w:rsidR="00DC522A">
              <w:rPr>
                <w:rFonts w:ascii="Arial Narrow" w:hAnsi="Arial Narrow" w:cs="Arial"/>
                <w:szCs w:val="22"/>
              </w:rPr>
              <w:t>2</w:t>
            </w:r>
            <w:r w:rsidRPr="000D1E0A">
              <w:rPr>
                <w:rFonts w:ascii="Arial Narrow" w:hAnsi="Arial Narrow" w:cs="Arial"/>
                <w:szCs w:val="22"/>
              </w:rPr>
              <w:t xml:space="preserve">0MB (multiple emails each of </w:t>
            </w:r>
            <w:r w:rsidR="00DC522A">
              <w:rPr>
                <w:rFonts w:ascii="Arial Narrow" w:hAnsi="Arial Narrow" w:cs="Arial"/>
                <w:szCs w:val="22"/>
              </w:rPr>
              <w:t>2</w:t>
            </w:r>
            <w:r w:rsidRPr="000D1E0A">
              <w:rPr>
                <w:rFonts w:ascii="Arial Narrow" w:hAnsi="Arial Narrow" w:cs="Arial"/>
                <w:szCs w:val="22"/>
              </w:rPr>
              <w:t>0MB can be accepted by AEMO).</w:t>
            </w:r>
          </w:p>
        </w:tc>
      </w:tr>
      <w:tr w:rsidR="00351BC2" w:rsidRPr="00A81D46" w14:paraId="2B90E3CC" w14:textId="77777777" w:rsidTr="1E4B98E1">
        <w:trPr>
          <w:cantSplit/>
        </w:trPr>
        <w:tc>
          <w:tcPr>
            <w:tcW w:w="2835" w:type="dxa"/>
          </w:tcPr>
          <w:p w14:paraId="5BC954C6" w14:textId="77777777" w:rsidR="00351BC2" w:rsidRPr="00A81D46" w:rsidRDefault="00351BC2" w:rsidP="00351BC2">
            <w:pPr>
              <w:widowControl w:val="0"/>
              <w:rPr>
                <w:rFonts w:ascii="Arial Narrow" w:hAnsi="Arial Narrow" w:cs="Arial"/>
                <w:b/>
                <w:szCs w:val="22"/>
              </w:rPr>
            </w:pPr>
          </w:p>
        </w:tc>
        <w:tc>
          <w:tcPr>
            <w:tcW w:w="4253" w:type="dxa"/>
            <w:tcBorders>
              <w:top w:val="single" w:sz="6" w:space="0" w:color="auto"/>
              <w:bottom w:val="single" w:sz="8" w:space="0" w:color="auto"/>
            </w:tcBorders>
          </w:tcPr>
          <w:p w14:paraId="55C617EE" w14:textId="77777777" w:rsidR="00351BC2" w:rsidRPr="00A81D46" w:rsidRDefault="00351BC2" w:rsidP="00351BC2">
            <w:pPr>
              <w:widowControl w:val="0"/>
              <w:rPr>
                <w:rFonts w:ascii="Arial Narrow" w:hAnsi="Arial Narrow" w:cs="Arial"/>
                <w:b/>
                <w:szCs w:val="22"/>
              </w:rPr>
            </w:pPr>
          </w:p>
        </w:tc>
      </w:tr>
      <w:tr w:rsidR="00351BC2" w:rsidRPr="00A81D46" w14:paraId="4CCF8C58" w14:textId="77777777" w:rsidTr="1E4B98E1">
        <w:trPr>
          <w:cantSplit/>
        </w:trPr>
        <w:tc>
          <w:tcPr>
            <w:tcW w:w="2835" w:type="dxa"/>
            <w:tcBorders>
              <w:right w:val="single" w:sz="8" w:space="0" w:color="auto"/>
            </w:tcBorders>
          </w:tcPr>
          <w:p w14:paraId="707FD6E2" w14:textId="77777777" w:rsidR="00351BC2" w:rsidRPr="00A81D46" w:rsidRDefault="00351BC2" w:rsidP="00351BC2">
            <w:pPr>
              <w:widowControl w:val="0"/>
              <w:rPr>
                <w:rFonts w:ascii="Arial Narrow" w:hAnsi="Arial Narrow" w:cs="Arial"/>
                <w:b/>
                <w:szCs w:val="22"/>
              </w:rPr>
            </w:pPr>
            <w:r w:rsidRPr="00A81D46">
              <w:rPr>
                <w:rFonts w:ascii="Arial Narrow" w:hAnsi="Arial Narrow" w:cs="Arial"/>
                <w:b/>
                <w:szCs w:val="22"/>
              </w:rPr>
              <w:t>Validity Period:</w:t>
            </w:r>
          </w:p>
        </w:tc>
        <w:tc>
          <w:tcPr>
            <w:tcW w:w="4253" w:type="dxa"/>
            <w:tcBorders>
              <w:top w:val="single" w:sz="8" w:space="0" w:color="auto"/>
              <w:left w:val="single" w:sz="8" w:space="0" w:color="auto"/>
              <w:bottom w:val="single" w:sz="8" w:space="0" w:color="auto"/>
              <w:right w:val="single" w:sz="8" w:space="0" w:color="auto"/>
            </w:tcBorders>
            <w:shd w:val="clear" w:color="auto" w:fill="F3F3F3"/>
          </w:tcPr>
          <w:p w14:paraId="73638AC5" w14:textId="2D6B5E1C" w:rsidR="00351BC2" w:rsidRPr="00A81D46" w:rsidRDefault="00DC522A" w:rsidP="009F1806">
            <w:pPr>
              <w:widowControl w:val="0"/>
              <w:rPr>
                <w:rFonts w:ascii="Arial Narrow" w:hAnsi="Arial Narrow" w:cs="Arial"/>
                <w:szCs w:val="22"/>
              </w:rPr>
            </w:pPr>
            <w:r w:rsidRPr="003B3541">
              <w:rPr>
                <w:rFonts w:ascii="Arial Narrow" w:hAnsi="Arial Narrow" w:cs="Arial"/>
                <w:szCs w:val="22"/>
              </w:rPr>
              <w:t>From the Closing Date u</w:t>
            </w:r>
            <w:r w:rsidR="009F1806" w:rsidRPr="003B3541">
              <w:rPr>
                <w:rFonts w:ascii="Arial Narrow" w:hAnsi="Arial Narrow" w:cs="Arial"/>
                <w:szCs w:val="22"/>
              </w:rPr>
              <w:t xml:space="preserve">ntil 11.59pm AEST on </w:t>
            </w:r>
            <w:r w:rsidR="00534F50" w:rsidRPr="007B4C9A">
              <w:rPr>
                <w:rFonts w:ascii="Arial Narrow" w:hAnsi="Arial Narrow" w:cs="Arial"/>
                <w:szCs w:val="22"/>
              </w:rPr>
              <w:t>1 July 2024</w:t>
            </w:r>
          </w:p>
        </w:tc>
      </w:tr>
      <w:tr w:rsidR="00351BC2" w:rsidRPr="00A81D46" w14:paraId="4BD82A20" w14:textId="77777777" w:rsidTr="1E4B98E1">
        <w:trPr>
          <w:cantSplit/>
        </w:trPr>
        <w:tc>
          <w:tcPr>
            <w:tcW w:w="2835" w:type="dxa"/>
          </w:tcPr>
          <w:p w14:paraId="5147F1A5" w14:textId="77777777" w:rsidR="00351BC2" w:rsidRPr="00A81D46" w:rsidRDefault="00351BC2" w:rsidP="00351BC2">
            <w:pPr>
              <w:widowControl w:val="0"/>
              <w:rPr>
                <w:rFonts w:cs="Arial"/>
                <w:b/>
                <w:szCs w:val="22"/>
              </w:rPr>
            </w:pPr>
          </w:p>
        </w:tc>
        <w:tc>
          <w:tcPr>
            <w:tcW w:w="4253" w:type="dxa"/>
            <w:tcBorders>
              <w:top w:val="single" w:sz="8" w:space="0" w:color="auto"/>
            </w:tcBorders>
          </w:tcPr>
          <w:p w14:paraId="500E3370" w14:textId="77777777" w:rsidR="00351BC2" w:rsidRPr="00A81D46" w:rsidRDefault="00351BC2" w:rsidP="00351BC2">
            <w:pPr>
              <w:widowControl w:val="0"/>
              <w:rPr>
                <w:rFonts w:cs="Arial"/>
                <w:b/>
                <w:szCs w:val="22"/>
              </w:rPr>
            </w:pPr>
          </w:p>
        </w:tc>
      </w:tr>
    </w:tbl>
    <w:p w14:paraId="3ED4F0AE" w14:textId="77777777" w:rsidR="00494532" w:rsidRDefault="00494532" w:rsidP="00494532">
      <w:pPr>
        <w:rPr>
          <w:b/>
          <w:sz w:val="32"/>
          <w:szCs w:val="32"/>
        </w:rPr>
      </w:pPr>
    </w:p>
    <w:p w14:paraId="0A222200" w14:textId="77777777" w:rsidR="00494532" w:rsidRPr="001D06DE" w:rsidRDefault="00494532" w:rsidP="001D06DE"/>
    <w:p w14:paraId="5A7F04DC" w14:textId="77777777" w:rsidR="00494532" w:rsidRPr="009B494C" w:rsidRDefault="00494532" w:rsidP="00494532"/>
    <w:p w14:paraId="55EA41DD" w14:textId="77777777" w:rsidR="00494532" w:rsidRDefault="00494532" w:rsidP="00494532">
      <w:pPr>
        <w:pStyle w:val="Draft"/>
        <w:ind w:left="0"/>
      </w:pPr>
    </w:p>
    <w:p w14:paraId="16EDA23D" w14:textId="77777777" w:rsidR="00351BC2" w:rsidRDefault="00351BC2" w:rsidP="00351BC2">
      <w:pPr>
        <w:rPr>
          <w:rFonts w:ascii="Arial Narrow" w:hAnsi="Arial Narrow" w:cs="Arial"/>
          <w:sz w:val="20"/>
        </w:rPr>
      </w:pPr>
    </w:p>
    <w:p w14:paraId="3575C7AA" w14:textId="77777777" w:rsidR="00351BC2" w:rsidRDefault="00351BC2" w:rsidP="00351BC2">
      <w:pPr>
        <w:rPr>
          <w:rFonts w:ascii="Arial Narrow" w:hAnsi="Arial Narrow" w:cs="Arial"/>
          <w:sz w:val="20"/>
        </w:rPr>
      </w:pPr>
    </w:p>
    <w:p w14:paraId="0279A5DE" w14:textId="77777777" w:rsidR="00351BC2" w:rsidRDefault="00351BC2" w:rsidP="00351BC2">
      <w:pPr>
        <w:rPr>
          <w:rFonts w:ascii="Arial Narrow" w:hAnsi="Arial Narrow" w:cs="Arial"/>
          <w:sz w:val="20"/>
        </w:rPr>
      </w:pPr>
    </w:p>
    <w:p w14:paraId="0FDCF8B6" w14:textId="77777777" w:rsidR="00351BC2" w:rsidRDefault="00351BC2" w:rsidP="00351BC2">
      <w:pPr>
        <w:rPr>
          <w:rFonts w:ascii="Arial Narrow" w:hAnsi="Arial Narrow" w:cs="Arial"/>
          <w:sz w:val="20"/>
        </w:rPr>
      </w:pPr>
    </w:p>
    <w:p w14:paraId="2B3E2767" w14:textId="77777777" w:rsidR="00351BC2" w:rsidRDefault="00351BC2" w:rsidP="00351BC2">
      <w:pPr>
        <w:rPr>
          <w:rFonts w:ascii="Arial Narrow" w:hAnsi="Arial Narrow" w:cs="Arial"/>
          <w:sz w:val="20"/>
        </w:rPr>
      </w:pPr>
    </w:p>
    <w:p w14:paraId="0A7A5743" w14:textId="77777777" w:rsidR="00351BC2" w:rsidRDefault="00351BC2" w:rsidP="00351BC2">
      <w:pPr>
        <w:rPr>
          <w:rFonts w:ascii="Arial Narrow" w:hAnsi="Arial Narrow" w:cs="Arial"/>
          <w:sz w:val="20"/>
        </w:rPr>
      </w:pPr>
    </w:p>
    <w:p w14:paraId="12726BB3" w14:textId="77777777" w:rsidR="00351BC2" w:rsidRDefault="00351BC2" w:rsidP="00351BC2">
      <w:pPr>
        <w:rPr>
          <w:rFonts w:ascii="Arial Narrow" w:hAnsi="Arial Narrow" w:cs="Arial"/>
          <w:sz w:val="20"/>
        </w:rPr>
      </w:pPr>
    </w:p>
    <w:p w14:paraId="4A9A7B02" w14:textId="77777777" w:rsidR="00351BC2" w:rsidRDefault="00351BC2" w:rsidP="00351BC2">
      <w:pPr>
        <w:rPr>
          <w:rFonts w:ascii="Arial Narrow" w:hAnsi="Arial Narrow" w:cs="Arial"/>
          <w:sz w:val="20"/>
        </w:rPr>
      </w:pPr>
    </w:p>
    <w:p w14:paraId="236DD26C" w14:textId="77777777" w:rsidR="00351BC2" w:rsidRDefault="00351BC2" w:rsidP="00351BC2">
      <w:pPr>
        <w:rPr>
          <w:rFonts w:ascii="Arial Narrow" w:hAnsi="Arial Narrow" w:cs="Arial"/>
          <w:sz w:val="20"/>
        </w:rPr>
      </w:pPr>
    </w:p>
    <w:p w14:paraId="472E32C7" w14:textId="77777777" w:rsidR="00351BC2" w:rsidRDefault="00351BC2" w:rsidP="00351BC2">
      <w:pPr>
        <w:rPr>
          <w:rFonts w:ascii="Arial Narrow" w:hAnsi="Arial Narrow" w:cs="Arial"/>
          <w:sz w:val="20"/>
        </w:rPr>
      </w:pPr>
    </w:p>
    <w:p w14:paraId="525EE950" w14:textId="77777777" w:rsidR="00351BC2" w:rsidRDefault="00351BC2" w:rsidP="00351BC2">
      <w:pPr>
        <w:rPr>
          <w:rFonts w:ascii="Arial Narrow" w:hAnsi="Arial Narrow" w:cs="Arial"/>
          <w:sz w:val="20"/>
        </w:rPr>
      </w:pPr>
    </w:p>
    <w:p w14:paraId="1E2986EB" w14:textId="77777777" w:rsidR="00351BC2" w:rsidRDefault="00351BC2" w:rsidP="00351BC2">
      <w:pPr>
        <w:rPr>
          <w:rFonts w:ascii="Arial Narrow" w:hAnsi="Arial Narrow" w:cs="Arial"/>
          <w:sz w:val="20"/>
        </w:rPr>
      </w:pPr>
    </w:p>
    <w:p w14:paraId="3A29AB94" w14:textId="77777777" w:rsidR="00351BC2" w:rsidRDefault="00351BC2" w:rsidP="00351BC2">
      <w:pPr>
        <w:rPr>
          <w:rFonts w:ascii="Arial Narrow" w:hAnsi="Arial Narrow" w:cs="Arial"/>
          <w:sz w:val="20"/>
        </w:rPr>
      </w:pPr>
    </w:p>
    <w:p w14:paraId="6BA82E2C" w14:textId="77777777" w:rsidR="00DC51B6" w:rsidRDefault="00DC51B6" w:rsidP="00351BC2">
      <w:pPr>
        <w:rPr>
          <w:rFonts w:ascii="Arial Narrow" w:hAnsi="Arial Narrow" w:cs="Arial"/>
          <w:sz w:val="20"/>
        </w:rPr>
      </w:pPr>
    </w:p>
    <w:p w14:paraId="6263B7F6" w14:textId="77777777" w:rsidR="00DC522A" w:rsidRDefault="00DC522A" w:rsidP="00790958">
      <w:pPr>
        <w:spacing w:before="0" w:after="0"/>
        <w:rPr>
          <w:rFonts w:ascii="Arial Narrow" w:hAnsi="Arial Narrow" w:cs="Arial"/>
          <w:sz w:val="20"/>
        </w:rPr>
      </w:pPr>
    </w:p>
    <w:p w14:paraId="62653428" w14:textId="77777777" w:rsidR="00DC522A" w:rsidRDefault="00DC522A" w:rsidP="00790958">
      <w:pPr>
        <w:spacing w:before="0" w:after="0"/>
        <w:rPr>
          <w:rFonts w:ascii="Arial Narrow" w:hAnsi="Arial Narrow" w:cs="Arial"/>
          <w:sz w:val="20"/>
        </w:rPr>
      </w:pPr>
    </w:p>
    <w:p w14:paraId="5E79303D" w14:textId="77777777" w:rsidR="00DC522A" w:rsidRDefault="00DC522A" w:rsidP="00790958">
      <w:pPr>
        <w:spacing w:before="0" w:after="0"/>
        <w:rPr>
          <w:rFonts w:ascii="Arial Narrow" w:hAnsi="Arial Narrow" w:cs="Arial"/>
          <w:sz w:val="20"/>
        </w:rPr>
      </w:pPr>
    </w:p>
    <w:p w14:paraId="4D954965" w14:textId="77777777" w:rsidR="00DC522A" w:rsidRDefault="00DC522A" w:rsidP="00790958">
      <w:pPr>
        <w:spacing w:before="0" w:after="0"/>
        <w:rPr>
          <w:rFonts w:ascii="Arial Narrow" w:hAnsi="Arial Narrow" w:cs="Arial"/>
          <w:sz w:val="20"/>
        </w:rPr>
      </w:pPr>
    </w:p>
    <w:p w14:paraId="2E002CEC" w14:textId="37E0FEA1" w:rsidR="00351BC2" w:rsidRPr="00351BC2" w:rsidRDefault="00351BC2" w:rsidP="00790958">
      <w:pPr>
        <w:spacing w:before="0" w:after="0"/>
        <w:rPr>
          <w:rFonts w:ascii="Arial Narrow" w:hAnsi="Arial Narrow" w:cs="Arial"/>
          <w:sz w:val="20"/>
        </w:rPr>
      </w:pPr>
      <w:r w:rsidRPr="00351BC2">
        <w:rPr>
          <w:rFonts w:ascii="Arial Narrow" w:hAnsi="Arial Narrow" w:cs="Arial"/>
          <w:sz w:val="20"/>
        </w:rPr>
        <w:t>Australian Energy Market Operator Limited</w:t>
      </w:r>
    </w:p>
    <w:p w14:paraId="57C8129B" w14:textId="77777777" w:rsidR="00351BC2" w:rsidRPr="00351BC2" w:rsidRDefault="001553A9" w:rsidP="00790958">
      <w:pPr>
        <w:tabs>
          <w:tab w:val="left" w:pos="1985"/>
          <w:tab w:val="left" w:pos="2268"/>
        </w:tabs>
        <w:spacing w:before="0" w:after="0"/>
        <w:rPr>
          <w:rFonts w:ascii="Arial Narrow" w:hAnsi="Arial Narrow" w:cs="Arial"/>
          <w:sz w:val="20"/>
        </w:rPr>
      </w:pPr>
      <w:r>
        <w:rPr>
          <w:rFonts w:ascii="Arial Narrow" w:hAnsi="Arial Narrow" w:cs="Arial"/>
          <w:sz w:val="20"/>
        </w:rPr>
        <w:t>Level 2</w:t>
      </w:r>
      <w:r w:rsidR="00351BC2">
        <w:rPr>
          <w:rFonts w:ascii="Arial Narrow" w:hAnsi="Arial Narrow" w:cs="Arial"/>
          <w:sz w:val="20"/>
        </w:rPr>
        <w:t xml:space="preserve">2, </w:t>
      </w:r>
      <w:r>
        <w:rPr>
          <w:rFonts w:ascii="Arial Narrow" w:hAnsi="Arial Narrow" w:cs="Arial"/>
          <w:sz w:val="20"/>
        </w:rPr>
        <w:t>530</w:t>
      </w:r>
      <w:r w:rsidR="00351BC2">
        <w:rPr>
          <w:rFonts w:ascii="Arial Narrow" w:hAnsi="Arial Narrow" w:cs="Arial"/>
          <w:sz w:val="20"/>
        </w:rPr>
        <w:t xml:space="preserve"> </w:t>
      </w:r>
      <w:r w:rsidR="00185251">
        <w:rPr>
          <w:rFonts w:ascii="Arial Narrow" w:hAnsi="Arial Narrow" w:cs="Arial"/>
          <w:sz w:val="20"/>
        </w:rPr>
        <w:t>Collins</w:t>
      </w:r>
      <w:r w:rsidR="00351BC2">
        <w:rPr>
          <w:rFonts w:ascii="Arial Narrow" w:hAnsi="Arial Narrow" w:cs="Arial"/>
          <w:sz w:val="20"/>
        </w:rPr>
        <w:t xml:space="preserve"> </w:t>
      </w:r>
      <w:r w:rsidR="00351BC2" w:rsidRPr="00351BC2">
        <w:rPr>
          <w:rFonts w:ascii="Arial Narrow" w:hAnsi="Arial Narrow" w:cs="Arial"/>
          <w:sz w:val="20"/>
        </w:rPr>
        <w:t>Street</w:t>
      </w:r>
    </w:p>
    <w:p w14:paraId="317E98FB" w14:textId="77777777" w:rsidR="00351BC2" w:rsidRPr="00351BC2" w:rsidRDefault="00351BC2" w:rsidP="00790958">
      <w:pPr>
        <w:spacing w:before="0" w:after="0"/>
        <w:rPr>
          <w:rFonts w:ascii="Arial Narrow" w:hAnsi="Arial Narrow" w:cs="Arial"/>
          <w:sz w:val="20"/>
        </w:rPr>
      </w:pPr>
      <w:r w:rsidRPr="00351BC2">
        <w:rPr>
          <w:rFonts w:ascii="Arial Narrow" w:hAnsi="Arial Narrow" w:cs="Arial"/>
          <w:sz w:val="20"/>
        </w:rPr>
        <w:t>MELBOURNE</w:t>
      </w:r>
      <w:r w:rsidR="006B51CE">
        <w:rPr>
          <w:rFonts w:ascii="Arial Narrow" w:hAnsi="Arial Narrow" w:cs="Arial"/>
          <w:sz w:val="20"/>
        </w:rPr>
        <w:t xml:space="preserve"> </w:t>
      </w:r>
      <w:r w:rsidRPr="00351BC2">
        <w:rPr>
          <w:rFonts w:ascii="Arial Narrow" w:hAnsi="Arial Narrow" w:cs="Arial"/>
          <w:sz w:val="20"/>
        </w:rPr>
        <w:t>VIC</w:t>
      </w:r>
      <w:r w:rsidR="006B51CE">
        <w:rPr>
          <w:rFonts w:ascii="Arial Narrow" w:hAnsi="Arial Narrow" w:cs="Arial"/>
          <w:sz w:val="20"/>
        </w:rPr>
        <w:t xml:space="preserve"> </w:t>
      </w:r>
      <w:r w:rsidRPr="00351BC2">
        <w:rPr>
          <w:rFonts w:ascii="Arial Narrow" w:hAnsi="Arial Narrow" w:cs="Arial"/>
          <w:sz w:val="20"/>
        </w:rPr>
        <w:t>3000</w:t>
      </w:r>
    </w:p>
    <w:p w14:paraId="60BF9266" w14:textId="77777777" w:rsidR="00351BC2" w:rsidRPr="00351BC2" w:rsidRDefault="00351BC2" w:rsidP="00790958">
      <w:pPr>
        <w:spacing w:before="0" w:after="0"/>
        <w:rPr>
          <w:rFonts w:ascii="Arial Narrow" w:hAnsi="Arial Narrow" w:cs="Arial"/>
          <w:sz w:val="20"/>
        </w:rPr>
      </w:pPr>
      <w:r w:rsidRPr="00351BC2">
        <w:rPr>
          <w:rFonts w:ascii="Arial Narrow" w:hAnsi="Arial Narrow" w:cs="Arial"/>
          <w:sz w:val="20"/>
        </w:rPr>
        <w:t>TEL:</w:t>
      </w:r>
      <w:r w:rsidR="006B51CE">
        <w:rPr>
          <w:rFonts w:ascii="Arial Narrow" w:hAnsi="Arial Narrow" w:cs="Arial"/>
          <w:sz w:val="20"/>
        </w:rPr>
        <w:t xml:space="preserve"> </w:t>
      </w:r>
      <w:r w:rsidRPr="00351BC2">
        <w:rPr>
          <w:rFonts w:ascii="Arial Narrow" w:hAnsi="Arial Narrow" w:cs="Arial"/>
          <w:sz w:val="20"/>
        </w:rPr>
        <w:t>03 96</w:t>
      </w:r>
      <w:r w:rsidR="001553A9">
        <w:rPr>
          <w:rFonts w:ascii="Arial Narrow" w:hAnsi="Arial Narrow" w:cs="Arial"/>
          <w:sz w:val="20"/>
        </w:rPr>
        <w:t>09</w:t>
      </w:r>
      <w:r w:rsidRPr="00351BC2">
        <w:rPr>
          <w:rFonts w:ascii="Arial Narrow" w:hAnsi="Arial Narrow" w:cs="Arial"/>
          <w:sz w:val="20"/>
        </w:rPr>
        <w:t xml:space="preserve"> 8</w:t>
      </w:r>
      <w:r w:rsidR="001553A9">
        <w:rPr>
          <w:rFonts w:ascii="Arial Narrow" w:hAnsi="Arial Narrow" w:cs="Arial"/>
          <w:sz w:val="20"/>
        </w:rPr>
        <w:t>000</w:t>
      </w:r>
    </w:p>
    <w:p w14:paraId="76F46459" w14:textId="77777777" w:rsidR="006502BA" w:rsidRDefault="006502BA">
      <w:pPr>
        <w:spacing w:after="400" w:line="540" w:lineRule="exact"/>
        <w:ind w:left="1077" w:right="1418"/>
        <w:rPr>
          <w:sz w:val="32"/>
        </w:rPr>
        <w:sectPr w:rsidR="006502BA" w:rsidSect="00494532">
          <w:headerReference w:type="default" r:id="rId11"/>
          <w:footerReference w:type="default" r:id="rId12"/>
          <w:pgSz w:w="11907" w:h="16840" w:code="9"/>
          <w:pgMar w:top="284" w:right="1418" w:bottom="284" w:left="1418" w:header="284" w:footer="284" w:gutter="0"/>
          <w:pgNumType w:start="1"/>
          <w:cols w:space="720"/>
        </w:sectPr>
      </w:pPr>
    </w:p>
    <w:p w14:paraId="18BAA943" w14:textId="77777777" w:rsidR="006502BA" w:rsidRDefault="006502BA">
      <w:pPr>
        <w:pStyle w:val="Reporttext"/>
      </w:pPr>
    </w:p>
    <w:p w14:paraId="4BFC3DCA" w14:textId="77777777" w:rsidR="006502BA" w:rsidRPr="00B53E22" w:rsidRDefault="006502BA" w:rsidP="00B53E22">
      <w:pPr>
        <w:pStyle w:val="TOCTitle"/>
        <w:shd w:val="clear" w:color="auto" w:fill="auto"/>
        <w:spacing w:after="360"/>
        <w:jc w:val="left"/>
        <w:rPr>
          <w:rFonts w:ascii="Arial Narrow" w:hAnsi="Arial Narrow"/>
          <w:sz w:val="36"/>
        </w:rPr>
      </w:pPr>
      <w:r w:rsidRPr="00B53E22">
        <w:rPr>
          <w:rFonts w:ascii="Arial Narrow" w:hAnsi="Arial Narrow"/>
          <w:sz w:val="36"/>
        </w:rPr>
        <w:t>Table of Contents</w:t>
      </w:r>
    </w:p>
    <w:p w14:paraId="26DB4F0B" w14:textId="77777777" w:rsidR="006502BA" w:rsidRDefault="006502BA"/>
    <w:p w14:paraId="30B90BAE" w14:textId="0459C62D" w:rsidR="00D5775F" w:rsidRDefault="00E71581">
      <w:pPr>
        <w:pStyle w:val="TOC1"/>
        <w:tabs>
          <w:tab w:val="left" w:pos="1320"/>
        </w:tabs>
        <w:rPr>
          <w:rFonts w:asciiTheme="minorHAnsi" w:eastAsiaTheme="minorEastAsia" w:hAnsiTheme="minorHAnsi" w:cstheme="minorBidi"/>
          <w:b w:val="0"/>
          <w:caps w:val="0"/>
          <w:noProof/>
          <w:szCs w:val="22"/>
          <w:lang w:eastAsia="en-AU"/>
        </w:rPr>
      </w:pPr>
      <w:r w:rsidRPr="00A86692">
        <w:rPr>
          <w:rFonts w:ascii="Arial Narrow" w:hAnsi="Arial Narrow"/>
        </w:rPr>
        <w:fldChar w:fldCharType="begin"/>
      </w:r>
      <w:r w:rsidR="00D45305" w:rsidRPr="00A86692">
        <w:rPr>
          <w:rFonts w:ascii="Arial Narrow" w:hAnsi="Arial Narrow"/>
        </w:rPr>
        <w:instrText xml:space="preserve"> TOC \h \z \t "ITT Heading 1,1,ITT Schedule Heading 1,1" </w:instrText>
      </w:r>
      <w:r w:rsidRPr="00A86692">
        <w:rPr>
          <w:rFonts w:ascii="Arial Narrow" w:hAnsi="Arial Narrow"/>
        </w:rPr>
        <w:fldChar w:fldCharType="separate"/>
      </w:r>
      <w:hyperlink w:anchor="_Toc133844110" w:history="1">
        <w:r w:rsidR="00D5775F" w:rsidRPr="005E1169">
          <w:rPr>
            <w:rStyle w:val="Hyperlink"/>
            <w:rFonts w:ascii="Arial Narrow" w:hAnsi="Arial Narrow"/>
            <w:noProof/>
          </w:rPr>
          <w:t>SECTION A:</w:t>
        </w:r>
        <w:r w:rsidR="00D5775F">
          <w:rPr>
            <w:rFonts w:asciiTheme="minorHAnsi" w:eastAsiaTheme="minorEastAsia" w:hAnsiTheme="minorHAnsi" w:cstheme="minorBidi"/>
            <w:b w:val="0"/>
            <w:caps w:val="0"/>
            <w:noProof/>
            <w:szCs w:val="22"/>
            <w:lang w:eastAsia="en-AU"/>
          </w:rPr>
          <w:tab/>
        </w:r>
        <w:r w:rsidR="00D5775F" w:rsidRPr="005E1169">
          <w:rPr>
            <w:rStyle w:val="Hyperlink"/>
            <w:rFonts w:ascii="Arial Narrow" w:hAnsi="Arial Narrow"/>
            <w:noProof/>
          </w:rPr>
          <w:t>INVITATION TO TENDER</w:t>
        </w:r>
        <w:r w:rsidR="00D5775F">
          <w:rPr>
            <w:noProof/>
            <w:webHidden/>
          </w:rPr>
          <w:tab/>
        </w:r>
        <w:r w:rsidR="00D5775F">
          <w:rPr>
            <w:noProof/>
            <w:webHidden/>
          </w:rPr>
          <w:fldChar w:fldCharType="begin"/>
        </w:r>
        <w:r w:rsidR="00D5775F">
          <w:rPr>
            <w:noProof/>
            <w:webHidden/>
          </w:rPr>
          <w:instrText xml:space="preserve"> PAGEREF _Toc133844110 \h </w:instrText>
        </w:r>
        <w:r w:rsidR="00D5775F">
          <w:rPr>
            <w:noProof/>
            <w:webHidden/>
          </w:rPr>
        </w:r>
        <w:r w:rsidR="00D5775F">
          <w:rPr>
            <w:noProof/>
            <w:webHidden/>
          </w:rPr>
          <w:fldChar w:fldCharType="separate"/>
        </w:r>
        <w:r w:rsidR="00D5775F">
          <w:rPr>
            <w:noProof/>
            <w:webHidden/>
          </w:rPr>
          <w:t>3</w:t>
        </w:r>
        <w:r w:rsidR="00D5775F">
          <w:rPr>
            <w:noProof/>
            <w:webHidden/>
          </w:rPr>
          <w:fldChar w:fldCharType="end"/>
        </w:r>
      </w:hyperlink>
    </w:p>
    <w:p w14:paraId="4601CFA7" w14:textId="4A7C2B51" w:rsidR="00D5775F" w:rsidRDefault="00D5775F">
      <w:pPr>
        <w:pStyle w:val="TOC1"/>
        <w:tabs>
          <w:tab w:val="left" w:pos="1320"/>
        </w:tabs>
        <w:rPr>
          <w:rFonts w:asciiTheme="minorHAnsi" w:eastAsiaTheme="minorEastAsia" w:hAnsiTheme="minorHAnsi" w:cstheme="minorBidi"/>
          <w:b w:val="0"/>
          <w:caps w:val="0"/>
          <w:noProof/>
          <w:szCs w:val="22"/>
          <w:lang w:eastAsia="en-AU"/>
        </w:rPr>
      </w:pPr>
      <w:hyperlink w:anchor="_Toc133844111" w:history="1">
        <w:r w:rsidRPr="005E1169">
          <w:rPr>
            <w:rStyle w:val="Hyperlink"/>
            <w:rFonts w:ascii="Arial Narrow" w:hAnsi="Arial Narrow"/>
            <w:noProof/>
          </w:rPr>
          <w:t>SECTION B:</w:t>
        </w:r>
        <w:r>
          <w:rPr>
            <w:rFonts w:asciiTheme="minorHAnsi" w:eastAsiaTheme="minorEastAsia" w:hAnsiTheme="minorHAnsi" w:cstheme="minorBidi"/>
            <w:b w:val="0"/>
            <w:caps w:val="0"/>
            <w:noProof/>
            <w:szCs w:val="22"/>
            <w:lang w:eastAsia="en-AU"/>
          </w:rPr>
          <w:tab/>
        </w:r>
        <w:r w:rsidRPr="005E1169">
          <w:rPr>
            <w:rStyle w:val="Hyperlink"/>
            <w:rFonts w:ascii="Arial Narrow" w:hAnsi="Arial Narrow"/>
            <w:noProof/>
          </w:rPr>
          <w:t>ITT RULES</w:t>
        </w:r>
        <w:r>
          <w:rPr>
            <w:noProof/>
            <w:webHidden/>
          </w:rPr>
          <w:tab/>
        </w:r>
        <w:r>
          <w:rPr>
            <w:noProof/>
            <w:webHidden/>
          </w:rPr>
          <w:fldChar w:fldCharType="begin"/>
        </w:r>
        <w:r>
          <w:rPr>
            <w:noProof/>
            <w:webHidden/>
          </w:rPr>
          <w:instrText xml:space="preserve"> PAGEREF _Toc133844111 \h </w:instrText>
        </w:r>
        <w:r>
          <w:rPr>
            <w:noProof/>
            <w:webHidden/>
          </w:rPr>
        </w:r>
        <w:r>
          <w:rPr>
            <w:noProof/>
            <w:webHidden/>
          </w:rPr>
          <w:fldChar w:fldCharType="separate"/>
        </w:r>
        <w:r>
          <w:rPr>
            <w:noProof/>
            <w:webHidden/>
          </w:rPr>
          <w:t>6</w:t>
        </w:r>
        <w:r>
          <w:rPr>
            <w:noProof/>
            <w:webHidden/>
          </w:rPr>
          <w:fldChar w:fldCharType="end"/>
        </w:r>
      </w:hyperlink>
    </w:p>
    <w:p w14:paraId="4E881169" w14:textId="6DEE2A83" w:rsidR="00D5775F" w:rsidRDefault="00D5775F">
      <w:pPr>
        <w:pStyle w:val="TOC1"/>
        <w:tabs>
          <w:tab w:val="left" w:pos="1320"/>
        </w:tabs>
        <w:rPr>
          <w:rFonts w:asciiTheme="minorHAnsi" w:eastAsiaTheme="minorEastAsia" w:hAnsiTheme="minorHAnsi" w:cstheme="minorBidi"/>
          <w:b w:val="0"/>
          <w:caps w:val="0"/>
          <w:noProof/>
          <w:szCs w:val="22"/>
          <w:lang w:eastAsia="en-AU"/>
        </w:rPr>
      </w:pPr>
      <w:hyperlink w:anchor="_Toc133844112" w:history="1">
        <w:r w:rsidRPr="005E1169">
          <w:rPr>
            <w:rStyle w:val="Hyperlink"/>
            <w:rFonts w:ascii="Arial Narrow" w:hAnsi="Arial Narrow"/>
            <w:noProof/>
          </w:rPr>
          <w:t>SECTION C:</w:t>
        </w:r>
        <w:r>
          <w:rPr>
            <w:rFonts w:asciiTheme="minorHAnsi" w:eastAsiaTheme="minorEastAsia" w:hAnsiTheme="minorHAnsi" w:cstheme="minorBidi"/>
            <w:b w:val="0"/>
            <w:caps w:val="0"/>
            <w:noProof/>
            <w:szCs w:val="22"/>
            <w:lang w:eastAsia="en-AU"/>
          </w:rPr>
          <w:tab/>
        </w:r>
        <w:r w:rsidRPr="005E1169">
          <w:rPr>
            <w:rStyle w:val="Hyperlink"/>
            <w:rFonts w:ascii="Arial Narrow" w:hAnsi="Arial Narrow"/>
            <w:noProof/>
          </w:rPr>
          <w:t>TENDER FORM</w:t>
        </w:r>
        <w:r>
          <w:rPr>
            <w:noProof/>
            <w:webHidden/>
          </w:rPr>
          <w:tab/>
        </w:r>
        <w:r>
          <w:rPr>
            <w:noProof/>
            <w:webHidden/>
          </w:rPr>
          <w:fldChar w:fldCharType="begin"/>
        </w:r>
        <w:r>
          <w:rPr>
            <w:noProof/>
            <w:webHidden/>
          </w:rPr>
          <w:instrText xml:space="preserve"> PAGEREF _Toc133844112 \h </w:instrText>
        </w:r>
        <w:r>
          <w:rPr>
            <w:noProof/>
            <w:webHidden/>
          </w:rPr>
        </w:r>
        <w:r>
          <w:rPr>
            <w:noProof/>
            <w:webHidden/>
          </w:rPr>
          <w:fldChar w:fldCharType="separate"/>
        </w:r>
        <w:r>
          <w:rPr>
            <w:noProof/>
            <w:webHidden/>
          </w:rPr>
          <w:t>16</w:t>
        </w:r>
        <w:r>
          <w:rPr>
            <w:noProof/>
            <w:webHidden/>
          </w:rPr>
          <w:fldChar w:fldCharType="end"/>
        </w:r>
      </w:hyperlink>
    </w:p>
    <w:p w14:paraId="5510B785" w14:textId="45415BED" w:rsidR="00D5775F" w:rsidRDefault="00D5775F">
      <w:pPr>
        <w:pStyle w:val="TOC1"/>
        <w:rPr>
          <w:rFonts w:asciiTheme="minorHAnsi" w:eastAsiaTheme="minorEastAsia" w:hAnsiTheme="minorHAnsi" w:cstheme="minorBidi"/>
          <w:b w:val="0"/>
          <w:caps w:val="0"/>
          <w:noProof/>
          <w:szCs w:val="22"/>
          <w:lang w:eastAsia="en-AU"/>
        </w:rPr>
      </w:pPr>
      <w:hyperlink w:anchor="_Toc133844113" w:history="1">
        <w:r w:rsidRPr="005E1169">
          <w:rPr>
            <w:rStyle w:val="Hyperlink"/>
            <w:rFonts w:ascii="Arial Narrow" w:hAnsi="Arial Narrow"/>
            <w:noProof/>
          </w:rPr>
          <w:t>SCHEDULE 1</w:t>
        </w:r>
        <w:r>
          <w:rPr>
            <w:noProof/>
            <w:webHidden/>
          </w:rPr>
          <w:tab/>
        </w:r>
        <w:r>
          <w:rPr>
            <w:noProof/>
            <w:webHidden/>
          </w:rPr>
          <w:fldChar w:fldCharType="begin"/>
        </w:r>
        <w:r>
          <w:rPr>
            <w:noProof/>
            <w:webHidden/>
          </w:rPr>
          <w:instrText xml:space="preserve"> PAGEREF _Toc133844113 \h </w:instrText>
        </w:r>
        <w:r>
          <w:rPr>
            <w:noProof/>
            <w:webHidden/>
          </w:rPr>
        </w:r>
        <w:r>
          <w:rPr>
            <w:noProof/>
            <w:webHidden/>
          </w:rPr>
          <w:fldChar w:fldCharType="separate"/>
        </w:r>
        <w:r>
          <w:rPr>
            <w:noProof/>
            <w:webHidden/>
          </w:rPr>
          <w:t>19</w:t>
        </w:r>
        <w:r>
          <w:rPr>
            <w:noProof/>
            <w:webHidden/>
          </w:rPr>
          <w:fldChar w:fldCharType="end"/>
        </w:r>
      </w:hyperlink>
    </w:p>
    <w:p w14:paraId="7D5D4301" w14:textId="6B206916" w:rsidR="00D5775F" w:rsidRDefault="00D5775F">
      <w:pPr>
        <w:pStyle w:val="TOC1"/>
        <w:rPr>
          <w:rFonts w:asciiTheme="minorHAnsi" w:eastAsiaTheme="minorEastAsia" w:hAnsiTheme="minorHAnsi" w:cstheme="minorBidi"/>
          <w:b w:val="0"/>
          <w:caps w:val="0"/>
          <w:noProof/>
          <w:szCs w:val="22"/>
          <w:lang w:eastAsia="en-AU"/>
        </w:rPr>
      </w:pPr>
      <w:hyperlink w:anchor="_Toc133844114" w:history="1">
        <w:r w:rsidRPr="005E1169">
          <w:rPr>
            <w:rStyle w:val="Hyperlink"/>
            <w:rFonts w:ascii="Arial Narrow" w:hAnsi="Arial Narrow"/>
            <w:noProof/>
          </w:rPr>
          <w:t>SCHEDULE 2</w:t>
        </w:r>
        <w:r>
          <w:rPr>
            <w:noProof/>
            <w:webHidden/>
          </w:rPr>
          <w:tab/>
        </w:r>
        <w:r>
          <w:rPr>
            <w:noProof/>
            <w:webHidden/>
          </w:rPr>
          <w:fldChar w:fldCharType="begin"/>
        </w:r>
        <w:r>
          <w:rPr>
            <w:noProof/>
            <w:webHidden/>
          </w:rPr>
          <w:instrText xml:space="preserve"> PAGEREF _Toc133844114 \h </w:instrText>
        </w:r>
        <w:r>
          <w:rPr>
            <w:noProof/>
            <w:webHidden/>
          </w:rPr>
        </w:r>
        <w:r>
          <w:rPr>
            <w:noProof/>
            <w:webHidden/>
          </w:rPr>
          <w:fldChar w:fldCharType="separate"/>
        </w:r>
        <w:r>
          <w:rPr>
            <w:noProof/>
            <w:webHidden/>
          </w:rPr>
          <w:t>20</w:t>
        </w:r>
        <w:r>
          <w:rPr>
            <w:noProof/>
            <w:webHidden/>
          </w:rPr>
          <w:fldChar w:fldCharType="end"/>
        </w:r>
      </w:hyperlink>
    </w:p>
    <w:p w14:paraId="7DE06775" w14:textId="78F7EA89" w:rsidR="00D5775F" w:rsidRDefault="00D5775F">
      <w:pPr>
        <w:pStyle w:val="TOC1"/>
        <w:rPr>
          <w:rFonts w:asciiTheme="minorHAnsi" w:eastAsiaTheme="minorEastAsia" w:hAnsiTheme="minorHAnsi" w:cstheme="minorBidi"/>
          <w:b w:val="0"/>
          <w:caps w:val="0"/>
          <w:noProof/>
          <w:szCs w:val="22"/>
          <w:lang w:eastAsia="en-AU"/>
        </w:rPr>
      </w:pPr>
      <w:hyperlink w:anchor="_Toc133844115" w:history="1">
        <w:r w:rsidRPr="005E1169">
          <w:rPr>
            <w:rStyle w:val="Hyperlink"/>
            <w:rFonts w:ascii="Arial Narrow" w:hAnsi="Arial Narrow"/>
            <w:noProof/>
          </w:rPr>
          <w:t>SCHEDULE 3</w:t>
        </w:r>
        <w:r>
          <w:rPr>
            <w:noProof/>
            <w:webHidden/>
          </w:rPr>
          <w:tab/>
        </w:r>
        <w:r>
          <w:rPr>
            <w:noProof/>
            <w:webHidden/>
          </w:rPr>
          <w:fldChar w:fldCharType="begin"/>
        </w:r>
        <w:r>
          <w:rPr>
            <w:noProof/>
            <w:webHidden/>
          </w:rPr>
          <w:instrText xml:space="preserve"> PAGEREF _Toc133844115 \h </w:instrText>
        </w:r>
        <w:r>
          <w:rPr>
            <w:noProof/>
            <w:webHidden/>
          </w:rPr>
        </w:r>
        <w:r>
          <w:rPr>
            <w:noProof/>
            <w:webHidden/>
          </w:rPr>
          <w:fldChar w:fldCharType="separate"/>
        </w:r>
        <w:r>
          <w:rPr>
            <w:noProof/>
            <w:webHidden/>
          </w:rPr>
          <w:t>25</w:t>
        </w:r>
        <w:r>
          <w:rPr>
            <w:noProof/>
            <w:webHidden/>
          </w:rPr>
          <w:fldChar w:fldCharType="end"/>
        </w:r>
      </w:hyperlink>
    </w:p>
    <w:p w14:paraId="24EDFB80" w14:textId="25C2ABD6" w:rsidR="00D5775F" w:rsidRDefault="00D5775F">
      <w:pPr>
        <w:pStyle w:val="TOC1"/>
        <w:rPr>
          <w:rFonts w:asciiTheme="minorHAnsi" w:eastAsiaTheme="minorEastAsia" w:hAnsiTheme="minorHAnsi" w:cstheme="minorBidi"/>
          <w:b w:val="0"/>
          <w:caps w:val="0"/>
          <w:noProof/>
          <w:szCs w:val="22"/>
          <w:lang w:eastAsia="en-AU"/>
        </w:rPr>
      </w:pPr>
      <w:hyperlink w:anchor="_Toc133844116" w:history="1">
        <w:r w:rsidRPr="005E1169">
          <w:rPr>
            <w:rStyle w:val="Hyperlink"/>
            <w:rFonts w:ascii="Arial Narrow" w:hAnsi="Arial Narrow"/>
            <w:noProof/>
          </w:rPr>
          <w:t>SCHEDULE 4</w:t>
        </w:r>
        <w:r>
          <w:rPr>
            <w:noProof/>
            <w:webHidden/>
          </w:rPr>
          <w:tab/>
        </w:r>
        <w:r>
          <w:rPr>
            <w:noProof/>
            <w:webHidden/>
          </w:rPr>
          <w:fldChar w:fldCharType="begin"/>
        </w:r>
        <w:r>
          <w:rPr>
            <w:noProof/>
            <w:webHidden/>
          </w:rPr>
          <w:instrText xml:space="preserve"> PAGEREF _Toc133844116 \h </w:instrText>
        </w:r>
        <w:r>
          <w:rPr>
            <w:noProof/>
            <w:webHidden/>
          </w:rPr>
        </w:r>
        <w:r>
          <w:rPr>
            <w:noProof/>
            <w:webHidden/>
          </w:rPr>
          <w:fldChar w:fldCharType="separate"/>
        </w:r>
        <w:r>
          <w:rPr>
            <w:noProof/>
            <w:webHidden/>
          </w:rPr>
          <w:t>26</w:t>
        </w:r>
        <w:r>
          <w:rPr>
            <w:noProof/>
            <w:webHidden/>
          </w:rPr>
          <w:fldChar w:fldCharType="end"/>
        </w:r>
      </w:hyperlink>
    </w:p>
    <w:p w14:paraId="58D62B0D" w14:textId="69A571B3" w:rsidR="00D5775F" w:rsidRDefault="00D5775F">
      <w:pPr>
        <w:pStyle w:val="TOC1"/>
        <w:rPr>
          <w:rFonts w:asciiTheme="minorHAnsi" w:eastAsiaTheme="minorEastAsia" w:hAnsiTheme="minorHAnsi" w:cstheme="minorBidi"/>
          <w:b w:val="0"/>
          <w:caps w:val="0"/>
          <w:noProof/>
          <w:szCs w:val="22"/>
          <w:lang w:eastAsia="en-AU"/>
        </w:rPr>
      </w:pPr>
      <w:hyperlink w:anchor="_Toc133844117" w:history="1">
        <w:r w:rsidRPr="005E1169">
          <w:rPr>
            <w:rStyle w:val="Hyperlink"/>
            <w:rFonts w:ascii="Arial Narrow" w:hAnsi="Arial Narrow"/>
            <w:noProof/>
          </w:rPr>
          <w:t>SCHEDULE 5</w:t>
        </w:r>
        <w:r>
          <w:rPr>
            <w:noProof/>
            <w:webHidden/>
          </w:rPr>
          <w:tab/>
        </w:r>
        <w:r>
          <w:rPr>
            <w:noProof/>
            <w:webHidden/>
          </w:rPr>
          <w:fldChar w:fldCharType="begin"/>
        </w:r>
        <w:r>
          <w:rPr>
            <w:noProof/>
            <w:webHidden/>
          </w:rPr>
          <w:instrText xml:space="preserve"> PAGEREF _Toc133844117 \h </w:instrText>
        </w:r>
        <w:r>
          <w:rPr>
            <w:noProof/>
            <w:webHidden/>
          </w:rPr>
        </w:r>
        <w:r>
          <w:rPr>
            <w:noProof/>
            <w:webHidden/>
          </w:rPr>
          <w:fldChar w:fldCharType="separate"/>
        </w:r>
        <w:r>
          <w:rPr>
            <w:noProof/>
            <w:webHidden/>
          </w:rPr>
          <w:t>28</w:t>
        </w:r>
        <w:r>
          <w:rPr>
            <w:noProof/>
            <w:webHidden/>
          </w:rPr>
          <w:fldChar w:fldCharType="end"/>
        </w:r>
      </w:hyperlink>
    </w:p>
    <w:p w14:paraId="2B3E6B7D" w14:textId="3011F389" w:rsidR="00D5775F" w:rsidRDefault="00D5775F">
      <w:pPr>
        <w:pStyle w:val="TOC1"/>
        <w:rPr>
          <w:rFonts w:asciiTheme="minorHAnsi" w:eastAsiaTheme="minorEastAsia" w:hAnsiTheme="minorHAnsi" w:cstheme="minorBidi"/>
          <w:b w:val="0"/>
          <w:caps w:val="0"/>
          <w:noProof/>
          <w:szCs w:val="22"/>
          <w:lang w:eastAsia="en-AU"/>
        </w:rPr>
      </w:pPr>
      <w:hyperlink w:anchor="_Toc133844118" w:history="1">
        <w:r w:rsidRPr="005E1169">
          <w:rPr>
            <w:rStyle w:val="Hyperlink"/>
            <w:rFonts w:ascii="Arial Narrow" w:hAnsi="Arial Narrow"/>
            <w:noProof/>
          </w:rPr>
          <w:t>SCHEDULE 6</w:t>
        </w:r>
        <w:r>
          <w:rPr>
            <w:noProof/>
            <w:webHidden/>
          </w:rPr>
          <w:tab/>
        </w:r>
        <w:r>
          <w:rPr>
            <w:noProof/>
            <w:webHidden/>
          </w:rPr>
          <w:fldChar w:fldCharType="begin"/>
        </w:r>
        <w:r>
          <w:rPr>
            <w:noProof/>
            <w:webHidden/>
          </w:rPr>
          <w:instrText xml:space="preserve"> PAGEREF _Toc133844118 \h </w:instrText>
        </w:r>
        <w:r>
          <w:rPr>
            <w:noProof/>
            <w:webHidden/>
          </w:rPr>
        </w:r>
        <w:r>
          <w:rPr>
            <w:noProof/>
            <w:webHidden/>
          </w:rPr>
          <w:fldChar w:fldCharType="separate"/>
        </w:r>
        <w:r>
          <w:rPr>
            <w:noProof/>
            <w:webHidden/>
          </w:rPr>
          <w:t>29</w:t>
        </w:r>
        <w:r>
          <w:rPr>
            <w:noProof/>
            <w:webHidden/>
          </w:rPr>
          <w:fldChar w:fldCharType="end"/>
        </w:r>
      </w:hyperlink>
    </w:p>
    <w:p w14:paraId="57CD62AD" w14:textId="77777777" w:rsidR="00D02544" w:rsidRPr="00A86692" w:rsidRDefault="00E71581">
      <w:pPr>
        <w:rPr>
          <w:rFonts w:ascii="Arial Narrow" w:hAnsi="Arial Narrow"/>
        </w:rPr>
      </w:pPr>
      <w:r w:rsidRPr="00A86692">
        <w:rPr>
          <w:rFonts w:ascii="Arial Narrow" w:hAnsi="Arial Narrow"/>
        </w:rPr>
        <w:fldChar w:fldCharType="end"/>
      </w:r>
    </w:p>
    <w:p w14:paraId="7D4F68ED" w14:textId="77777777" w:rsidR="00D02544" w:rsidRPr="00A86692" w:rsidRDefault="00D02544">
      <w:pPr>
        <w:rPr>
          <w:rFonts w:ascii="Arial Narrow" w:hAnsi="Arial Narrow"/>
        </w:rPr>
      </w:pPr>
    </w:p>
    <w:p w14:paraId="6A794362" w14:textId="77777777" w:rsidR="00F96BCE" w:rsidRPr="00A86692" w:rsidRDefault="00F96BCE" w:rsidP="00A86692">
      <w:pPr>
        <w:pStyle w:val="ITTHeading1"/>
        <w:shd w:val="clear" w:color="auto" w:fill="auto"/>
        <w:rPr>
          <w:rFonts w:ascii="Arial Narrow" w:hAnsi="Arial Narrow"/>
        </w:rPr>
      </w:pPr>
      <w:bookmarkStart w:id="0" w:name="_Toc137014539"/>
      <w:bookmarkStart w:id="1" w:name="_Toc137442190"/>
      <w:bookmarkStart w:id="2" w:name="_Toc133844110"/>
      <w:r w:rsidRPr="00A86692">
        <w:rPr>
          <w:rFonts w:ascii="Arial Narrow" w:hAnsi="Arial Narrow"/>
        </w:rPr>
        <w:lastRenderedPageBreak/>
        <w:t>INVITATION TO TENDER</w:t>
      </w:r>
      <w:bookmarkEnd w:id="0"/>
      <w:bookmarkEnd w:id="1"/>
      <w:bookmarkEnd w:id="2"/>
    </w:p>
    <w:p w14:paraId="491AE709" w14:textId="77777777" w:rsidR="00DF7A7A" w:rsidRPr="00A86692" w:rsidRDefault="00DF7A7A" w:rsidP="00BB48B1">
      <w:pPr>
        <w:pStyle w:val="ITTHeading2"/>
      </w:pPr>
      <w:r w:rsidRPr="00A86692">
        <w:t>Background</w:t>
      </w:r>
    </w:p>
    <w:p w14:paraId="3E76F152" w14:textId="77777777" w:rsidR="00790958" w:rsidRDefault="00790958" w:rsidP="00790958">
      <w:pPr>
        <w:pStyle w:val="BodyText"/>
      </w:pPr>
      <w:r>
        <w:t xml:space="preserve">Australian Energy Market Operator Limited (AEMO) is an independent organisation responsible for operating eastern, south-eastern and western energy markets and systems in accordance with its statutory functions. </w:t>
      </w:r>
    </w:p>
    <w:p w14:paraId="7414B3FF" w14:textId="77777777" w:rsidR="00790958" w:rsidRDefault="00790958" w:rsidP="00790958">
      <w:pPr>
        <w:pStyle w:val="BodyText"/>
      </w:pPr>
      <w:r>
        <w:t xml:space="preserve">In Victoria, AEMO is also the transmission planner for the shared network, procures transmission network capability and provides shared transmission services to network users. </w:t>
      </w:r>
    </w:p>
    <w:p w14:paraId="281E1558" w14:textId="4C9FCE0F" w:rsidR="00A240BE" w:rsidRDefault="00790958" w:rsidP="00790958">
      <w:pPr>
        <w:pStyle w:val="BodyText"/>
        <w:rPr>
          <w:rFonts w:cs="Avenir-Book"/>
          <w:lang w:eastAsia="en-AU"/>
        </w:rPr>
      </w:pPr>
      <w:r>
        <w:t>With its broad national focus for the future, AEMO’s objectives are to promote efficient investment in and operation of Australia’s electricity and gas services for the long-term interests of consumers with respect to price, quality, safety, reliability and security of energy supply.</w:t>
      </w:r>
    </w:p>
    <w:p w14:paraId="2B8941B4" w14:textId="77777777" w:rsidR="006F211E" w:rsidRPr="00A86692" w:rsidRDefault="006F211E" w:rsidP="00BB48B1">
      <w:pPr>
        <w:pStyle w:val="ITTHeading2"/>
      </w:pPr>
      <w:r>
        <w:t>Invitation to Tender</w:t>
      </w:r>
    </w:p>
    <w:p w14:paraId="4BAA4DB0" w14:textId="054C8AB3" w:rsidR="00B41EE7" w:rsidRDefault="00B41EE7" w:rsidP="0064064B">
      <w:pPr>
        <w:pStyle w:val="BodyText"/>
        <w:rPr>
          <w:rFonts w:cs="Arial"/>
          <w:i/>
        </w:rPr>
      </w:pPr>
      <w:r w:rsidRPr="0019378D">
        <w:t>AEMO</w:t>
      </w:r>
      <w:r w:rsidRPr="00014B5A">
        <w:t xml:space="preserve"> operates the </w:t>
      </w:r>
      <w:r w:rsidRPr="0019378D">
        <w:t>N</w:t>
      </w:r>
      <w:r w:rsidR="00790958">
        <w:t xml:space="preserve">ational </w:t>
      </w:r>
      <w:r w:rsidRPr="0019378D">
        <w:t>E</w:t>
      </w:r>
      <w:r w:rsidR="00790958">
        <w:t>lec</w:t>
      </w:r>
      <w:r w:rsidR="00546225">
        <w:t>tricity</w:t>
      </w:r>
      <w:r w:rsidR="00790958">
        <w:t xml:space="preserve"> </w:t>
      </w:r>
      <w:r w:rsidRPr="0019378D">
        <w:t>M</w:t>
      </w:r>
      <w:r w:rsidR="00790958">
        <w:t>a</w:t>
      </w:r>
      <w:r w:rsidR="00546225">
        <w:t>r</w:t>
      </w:r>
      <w:r w:rsidR="00790958">
        <w:t>ket (NEM)</w:t>
      </w:r>
      <w:r w:rsidRPr="00014B5A">
        <w:t xml:space="preserve"> by balancing demand for, and supply of, electricity through a pool and spot market. </w:t>
      </w:r>
      <w:r w:rsidRPr="0019378D">
        <w:t>AEMO</w:t>
      </w:r>
      <w:r w:rsidRPr="00014B5A">
        <w:t xml:space="preserve"> is also responsible for maintaining </w:t>
      </w:r>
      <w:r w:rsidR="001715FB">
        <w:t>the security of the national transmission grid within the NEM.</w:t>
      </w:r>
    </w:p>
    <w:p w14:paraId="06903B0C" w14:textId="77777777" w:rsidR="009C2213" w:rsidRDefault="00242FA7" w:rsidP="0064064B">
      <w:pPr>
        <w:pStyle w:val="BodyText"/>
        <w:rPr>
          <w:rFonts w:cs="Arial"/>
        </w:rPr>
      </w:pPr>
      <w:r>
        <w:rPr>
          <w:rFonts w:cs="Arial"/>
        </w:rPr>
        <w:t xml:space="preserve">AEMO acquires </w:t>
      </w:r>
      <w:r>
        <w:rPr>
          <w:rFonts w:cs="Arial"/>
          <w:i/>
        </w:rPr>
        <w:t>a</w:t>
      </w:r>
      <w:r w:rsidR="0005173D" w:rsidRPr="00B41EE7">
        <w:rPr>
          <w:rFonts w:cs="Arial"/>
          <w:i/>
        </w:rPr>
        <w:t xml:space="preserve">ncillary services </w:t>
      </w:r>
      <w:r w:rsidR="001715FB">
        <w:rPr>
          <w:rFonts w:cs="Arial"/>
        </w:rPr>
        <w:t>in accordance with Chapter 3 of the National Electricity Rules (</w:t>
      </w:r>
      <w:r w:rsidR="001715FB">
        <w:rPr>
          <w:rFonts w:cs="Arial"/>
          <w:b/>
        </w:rPr>
        <w:t>NER</w:t>
      </w:r>
      <w:r w:rsidR="001715FB">
        <w:rPr>
          <w:rFonts w:cs="Arial"/>
        </w:rPr>
        <w:t>) for the</w:t>
      </w:r>
      <w:r w:rsidR="0005173D" w:rsidRPr="00B41EE7">
        <w:rPr>
          <w:rFonts w:cs="Arial"/>
        </w:rPr>
        <w:t xml:space="preserve"> management of </w:t>
      </w:r>
      <w:r w:rsidR="0005173D" w:rsidRPr="00B41EE7">
        <w:rPr>
          <w:rFonts w:cs="Arial"/>
          <w:i/>
        </w:rPr>
        <w:t>power system security</w:t>
      </w:r>
      <w:r w:rsidR="0005173D" w:rsidRPr="00B41EE7">
        <w:rPr>
          <w:rFonts w:cs="Arial"/>
        </w:rPr>
        <w:t>.</w:t>
      </w:r>
      <w:r w:rsidR="001715FB">
        <w:rPr>
          <w:rFonts w:cs="Arial"/>
        </w:rPr>
        <w:t xml:space="preserve"> AEMO is now seeking </w:t>
      </w:r>
      <w:r w:rsidR="009F1806">
        <w:rPr>
          <w:rFonts w:cs="Arial"/>
        </w:rPr>
        <w:t>tenders</w:t>
      </w:r>
      <w:r w:rsidR="001715FB">
        <w:rPr>
          <w:rFonts w:cs="Arial"/>
        </w:rPr>
        <w:t xml:space="preserve"> from potential providers of </w:t>
      </w:r>
      <w:r w:rsidR="001715FB">
        <w:rPr>
          <w:rFonts w:cs="Arial"/>
          <w:i/>
        </w:rPr>
        <w:t>system restart ancillary services</w:t>
      </w:r>
      <w:r w:rsidR="001715FB">
        <w:rPr>
          <w:rFonts w:cs="Arial"/>
        </w:rPr>
        <w:t xml:space="preserve"> (</w:t>
      </w:r>
      <w:r w:rsidR="001715FB">
        <w:rPr>
          <w:rFonts w:cs="Arial"/>
          <w:b/>
        </w:rPr>
        <w:t>SRAS</w:t>
      </w:r>
      <w:r w:rsidR="001715FB">
        <w:rPr>
          <w:rFonts w:cs="Arial"/>
        </w:rPr>
        <w:t>) from</w:t>
      </w:r>
      <w:r w:rsidR="004D02E0">
        <w:rPr>
          <w:rFonts w:cs="Arial"/>
        </w:rPr>
        <w:t xml:space="preserve"> either</w:t>
      </w:r>
      <w:r w:rsidR="001715FB">
        <w:rPr>
          <w:rFonts w:cs="Arial"/>
        </w:rPr>
        <w:t xml:space="preserve"> </w:t>
      </w:r>
      <w:r w:rsidR="00722C13" w:rsidRPr="00F83FAB">
        <w:rPr>
          <w:rFonts w:cs="Arial"/>
        </w:rPr>
        <w:t>1</w:t>
      </w:r>
      <w:r w:rsidR="001715FB" w:rsidRPr="00F83FAB">
        <w:rPr>
          <w:rFonts w:cs="Arial"/>
        </w:rPr>
        <w:t xml:space="preserve"> July 20</w:t>
      </w:r>
      <w:r w:rsidR="009B423B" w:rsidRPr="00F83FAB">
        <w:rPr>
          <w:rFonts w:cs="Arial"/>
        </w:rPr>
        <w:t>2</w:t>
      </w:r>
      <w:r w:rsidR="007560F5" w:rsidRPr="00F83FAB">
        <w:rPr>
          <w:rFonts w:cs="Arial"/>
        </w:rPr>
        <w:t>4</w:t>
      </w:r>
      <w:r w:rsidR="004D02E0" w:rsidRPr="00F83FAB">
        <w:rPr>
          <w:rFonts w:cs="Arial"/>
        </w:rPr>
        <w:t xml:space="preserve"> or 1 July 2025</w:t>
      </w:r>
      <w:r w:rsidR="007560F5" w:rsidRPr="00F83FAB">
        <w:rPr>
          <w:rFonts w:cs="Arial"/>
        </w:rPr>
        <w:t>, this</w:t>
      </w:r>
      <w:r w:rsidR="007560F5" w:rsidRPr="00722C13">
        <w:rPr>
          <w:rFonts w:cs="Arial"/>
        </w:rPr>
        <w:t xml:space="preserve"> includes both restart sources and support services. </w:t>
      </w:r>
    </w:p>
    <w:p w14:paraId="3D24A5B2" w14:textId="57A8C54E" w:rsidR="00722C13" w:rsidRPr="00722C13" w:rsidRDefault="009C2213" w:rsidP="0064064B">
      <w:pPr>
        <w:pStyle w:val="BodyText"/>
        <w:rPr>
          <w:rFonts w:cs="Arial"/>
        </w:rPr>
      </w:pPr>
      <w:r>
        <w:rPr>
          <w:rFonts w:cs="Arial"/>
        </w:rPr>
        <w:t>E</w:t>
      </w:r>
      <w:r w:rsidR="00B71555">
        <w:rPr>
          <w:rFonts w:cs="Arial"/>
        </w:rPr>
        <w:t xml:space="preserve">nergy storage assets may be required to reserve </w:t>
      </w:r>
      <w:r w:rsidR="006933B9">
        <w:rPr>
          <w:rFonts w:cs="Arial"/>
        </w:rPr>
        <w:t xml:space="preserve">energy, </w:t>
      </w:r>
      <w:r w:rsidR="00AA57BC">
        <w:rPr>
          <w:rFonts w:cs="Arial"/>
        </w:rPr>
        <w:t>t</w:t>
      </w:r>
      <w:r w:rsidR="006933B9" w:rsidRPr="006933B9">
        <w:rPr>
          <w:rFonts w:cs="Arial"/>
        </w:rPr>
        <w:t>he energy required for restoration will be dependant on the restart standard requirements and restart path and conditions on the day. For example, a restart source is required to energise other generators on the network while controlling frequency until the network is stable.</w:t>
      </w:r>
      <w:r w:rsidR="00AA57BC">
        <w:rPr>
          <w:rFonts w:cs="Arial"/>
        </w:rPr>
        <w:t xml:space="preserve"> This will be reviewed by AEMO during the tender evaluations, proposed </w:t>
      </w:r>
      <w:r>
        <w:rPr>
          <w:b/>
        </w:rPr>
        <w:t>Reserved Energy</w:t>
      </w:r>
      <w:r>
        <w:rPr>
          <w:rFonts w:cs="Arial"/>
        </w:rPr>
        <w:t xml:space="preserve"> </w:t>
      </w:r>
      <w:r w:rsidR="00AA57BC">
        <w:rPr>
          <w:rFonts w:cs="Arial"/>
        </w:rPr>
        <w:t xml:space="preserve">to be provided </w:t>
      </w:r>
      <w:r w:rsidR="005630A2">
        <w:rPr>
          <w:rFonts w:cs="Arial"/>
        </w:rPr>
        <w:t>in</w:t>
      </w:r>
      <w:r>
        <w:rPr>
          <w:rFonts w:cs="Arial"/>
        </w:rPr>
        <w:t xml:space="preserve"> </w:t>
      </w:r>
      <w:r w:rsidR="00EB45E8">
        <w:rPr>
          <w:rFonts w:cs="Arial"/>
        </w:rPr>
        <w:t>Schedule</w:t>
      </w:r>
      <w:r>
        <w:rPr>
          <w:rFonts w:cs="Arial"/>
        </w:rPr>
        <w:t xml:space="preserve"> 2.</w:t>
      </w:r>
      <w:r w:rsidR="005630A2">
        <w:rPr>
          <w:rFonts w:cs="Arial"/>
        </w:rPr>
        <w:t xml:space="preserve"> </w:t>
      </w:r>
    </w:p>
    <w:p w14:paraId="70AE1961" w14:textId="5C1085A1" w:rsidR="00722C13" w:rsidRPr="001715FB" w:rsidRDefault="00077AA7" w:rsidP="00722C13">
      <w:pPr>
        <w:pStyle w:val="BodyText"/>
        <w:rPr>
          <w:rFonts w:cs="Arial"/>
        </w:rPr>
      </w:pPr>
      <w:r>
        <w:rPr>
          <w:rFonts w:cs="Arial"/>
        </w:rPr>
        <w:t>AEMO will not know the d</w:t>
      </w:r>
      <w:r w:rsidR="00722C13" w:rsidRPr="00E42C05">
        <w:rPr>
          <w:rFonts w:cs="Arial"/>
        </w:rPr>
        <w:t xml:space="preserve">etails of what support services </w:t>
      </w:r>
      <w:r w:rsidR="00790958">
        <w:rPr>
          <w:rFonts w:cs="Arial"/>
        </w:rPr>
        <w:t xml:space="preserve">may be required </w:t>
      </w:r>
      <w:r w:rsidR="00F83FAB">
        <w:rPr>
          <w:rFonts w:cs="Arial"/>
        </w:rPr>
        <w:t xml:space="preserve">(if any) </w:t>
      </w:r>
      <w:r w:rsidR="00722C13" w:rsidRPr="00E42C05">
        <w:rPr>
          <w:rFonts w:cs="Arial"/>
        </w:rPr>
        <w:t>until the restart sources power system models are completed during evaluations</w:t>
      </w:r>
      <w:r>
        <w:rPr>
          <w:rFonts w:cs="Arial"/>
        </w:rPr>
        <w:t>. Accordingly</w:t>
      </w:r>
      <w:r w:rsidR="00722C13" w:rsidRPr="00E42C05">
        <w:rPr>
          <w:rFonts w:cs="Arial"/>
        </w:rPr>
        <w:t xml:space="preserve">, </w:t>
      </w:r>
      <w:r>
        <w:rPr>
          <w:rFonts w:cs="Arial"/>
        </w:rPr>
        <w:t xml:space="preserve">while AEMO has requested expressions of interest to provide support services (see </w:t>
      </w:r>
      <w:r w:rsidRPr="00F83FAB">
        <w:rPr>
          <w:rFonts w:cs="Arial"/>
          <w:b/>
          <w:bCs/>
        </w:rPr>
        <w:t>Schedule 6</w:t>
      </w:r>
      <w:r>
        <w:rPr>
          <w:rFonts w:cs="Arial"/>
        </w:rPr>
        <w:t xml:space="preserve">), </w:t>
      </w:r>
      <w:r w:rsidR="00722C13" w:rsidRPr="00E42C05">
        <w:rPr>
          <w:rFonts w:cs="Arial"/>
        </w:rPr>
        <w:t xml:space="preserve"> </w:t>
      </w:r>
      <w:r>
        <w:rPr>
          <w:rFonts w:cs="Arial"/>
        </w:rPr>
        <w:t xml:space="preserve">these </w:t>
      </w:r>
      <w:r w:rsidR="00722C13" w:rsidRPr="00E42C05">
        <w:rPr>
          <w:rFonts w:cs="Arial"/>
        </w:rPr>
        <w:t>may not be needed.</w:t>
      </w:r>
    </w:p>
    <w:p w14:paraId="61BA8A9A" w14:textId="1B63BD82" w:rsidR="0005173D" w:rsidRDefault="00DF7A7A" w:rsidP="0005173D">
      <w:pPr>
        <w:ind w:left="720"/>
        <w:rPr>
          <w:rFonts w:ascii="Arial Narrow" w:hAnsi="Arial Narrow"/>
        </w:rPr>
      </w:pPr>
      <w:r w:rsidRPr="00B41EE7">
        <w:rPr>
          <w:rFonts w:ascii="Arial Narrow" w:hAnsi="Arial Narrow"/>
          <w:b/>
          <w:szCs w:val="22"/>
        </w:rPr>
        <w:t xml:space="preserve">TENDERS ARE INVITED </w:t>
      </w:r>
      <w:r w:rsidRPr="00B41EE7">
        <w:rPr>
          <w:rFonts w:ascii="Arial Narrow" w:hAnsi="Arial Narrow"/>
          <w:szCs w:val="22"/>
        </w:rPr>
        <w:t xml:space="preserve">for the </w:t>
      </w:r>
      <w:r w:rsidR="001715FB">
        <w:rPr>
          <w:rFonts w:ascii="Arial Narrow" w:hAnsi="Arial Narrow"/>
          <w:szCs w:val="22"/>
        </w:rPr>
        <w:t>provision of SRAS</w:t>
      </w:r>
      <w:r w:rsidR="0005173D" w:rsidRPr="00B41EE7">
        <w:rPr>
          <w:rFonts w:ascii="Arial Narrow" w:hAnsi="Arial Narrow"/>
        </w:rPr>
        <w:t>.</w:t>
      </w:r>
    </w:p>
    <w:p w14:paraId="2E0164FF" w14:textId="608C6B53" w:rsidR="001839A3" w:rsidRPr="000929C5" w:rsidRDefault="0074474C" w:rsidP="00F344D0">
      <w:pPr>
        <w:ind w:left="720"/>
        <w:rPr>
          <w:rFonts w:ascii="Arial Narrow" w:hAnsi="Arial Narrow"/>
          <w:b/>
          <w:bCs/>
          <w:sz w:val="20"/>
        </w:rPr>
      </w:pPr>
      <w:r w:rsidRPr="000929C5">
        <w:rPr>
          <w:rStyle w:val="BodyTextChar"/>
          <w:b/>
          <w:bCs/>
          <w:sz w:val="20"/>
          <w:szCs w:val="20"/>
        </w:rPr>
        <w:t>Award of any SRAS contract in subject to a satisfactory testing</w:t>
      </w:r>
      <w:r>
        <w:rPr>
          <w:rStyle w:val="BodyTextChar"/>
          <w:b/>
          <w:bCs/>
          <w:sz w:val="20"/>
          <w:szCs w:val="20"/>
        </w:rPr>
        <w:t xml:space="preserve">, refer to the </w:t>
      </w:r>
      <w:r w:rsidR="00EB45E8">
        <w:rPr>
          <w:rStyle w:val="BodyTextChar"/>
          <w:b/>
          <w:bCs/>
          <w:sz w:val="20"/>
          <w:szCs w:val="20"/>
        </w:rPr>
        <w:t>indicative</w:t>
      </w:r>
      <w:r>
        <w:rPr>
          <w:rStyle w:val="BodyTextChar"/>
          <w:b/>
          <w:bCs/>
          <w:sz w:val="20"/>
          <w:szCs w:val="20"/>
        </w:rPr>
        <w:t xml:space="preserve"> timetable below and Schedule 3. </w:t>
      </w:r>
    </w:p>
    <w:p w14:paraId="3A377B13" w14:textId="77777777" w:rsidR="00E72371" w:rsidRPr="00172AFA" w:rsidRDefault="00E72371" w:rsidP="00E72371">
      <w:pPr>
        <w:pStyle w:val="ITTHeading2"/>
      </w:pPr>
      <w:bookmarkStart w:id="3" w:name="_Ref29047290"/>
      <w:r w:rsidRPr="00172AFA">
        <w:t>Indicative Timetable</w:t>
      </w:r>
      <w:bookmarkEnd w:id="3"/>
    </w:p>
    <w:p w14:paraId="7D79530D" w14:textId="6471AFD8" w:rsidR="00E72371" w:rsidRPr="00104629" w:rsidRDefault="00E72371" w:rsidP="00E72371">
      <w:pPr>
        <w:pStyle w:val="BodyText"/>
        <w:rPr>
          <w:b/>
        </w:rPr>
      </w:pPr>
      <w:r w:rsidRPr="00104629">
        <w:t xml:space="preserve">This timetable is provided to give </w:t>
      </w:r>
      <w:r>
        <w:t>Tenderers</w:t>
      </w:r>
      <w:r w:rsidRPr="00104629">
        <w:t xml:space="preserve"> an indication of the anticipated timing for the procurement process.</w:t>
      </w:r>
      <w:r>
        <w:t xml:space="preserve"> It is not binding and is subject to change, and any stage may take longer or shorter than anticipated</w:t>
      </w:r>
      <w:r w:rsidR="00707755">
        <w:t xml:space="preserve">. </w:t>
      </w:r>
    </w:p>
    <w:tbl>
      <w:tblPr>
        <w:tblStyle w:val="TableGrid"/>
        <w:tblW w:w="8085" w:type="dxa"/>
        <w:tblInd w:w="704" w:type="dxa"/>
        <w:tblLook w:val="04A0" w:firstRow="1" w:lastRow="0" w:firstColumn="1" w:lastColumn="0" w:noHBand="0" w:noVBand="1"/>
      </w:tblPr>
      <w:tblGrid>
        <w:gridCol w:w="4825"/>
        <w:gridCol w:w="3260"/>
      </w:tblGrid>
      <w:tr w:rsidR="00E72371" w:rsidRPr="00052063" w14:paraId="0F1AEC50" w14:textId="77777777" w:rsidTr="00E72371">
        <w:tc>
          <w:tcPr>
            <w:tcW w:w="4825" w:type="dxa"/>
            <w:shd w:val="pct15" w:color="auto" w:fill="auto"/>
          </w:tcPr>
          <w:p w14:paraId="3274210B" w14:textId="77777777" w:rsidR="00E72371" w:rsidRPr="00F4583E" w:rsidRDefault="00E72371">
            <w:pPr>
              <w:pStyle w:val="TableHeading"/>
              <w:rPr>
                <w:sz w:val="18"/>
                <w:szCs w:val="18"/>
              </w:rPr>
            </w:pPr>
            <w:r w:rsidRPr="00F4583E">
              <w:rPr>
                <w:sz w:val="18"/>
                <w:szCs w:val="18"/>
              </w:rPr>
              <w:t>Activity</w:t>
            </w:r>
          </w:p>
        </w:tc>
        <w:tc>
          <w:tcPr>
            <w:tcW w:w="3260" w:type="dxa"/>
            <w:shd w:val="pct15" w:color="auto" w:fill="auto"/>
          </w:tcPr>
          <w:p w14:paraId="2C247EA3" w14:textId="19E75D50" w:rsidR="00E72371" w:rsidRPr="00F4583E" w:rsidRDefault="00E72371">
            <w:pPr>
              <w:pStyle w:val="TableHeading"/>
              <w:ind w:left="193"/>
              <w:rPr>
                <w:sz w:val="18"/>
                <w:szCs w:val="18"/>
              </w:rPr>
            </w:pPr>
            <w:r>
              <w:rPr>
                <w:sz w:val="18"/>
                <w:szCs w:val="18"/>
              </w:rPr>
              <w:t>Indicative timing</w:t>
            </w:r>
          </w:p>
        </w:tc>
      </w:tr>
      <w:tr w:rsidR="00E72371" w:rsidRPr="00052063" w14:paraId="0D2C8445" w14:textId="77777777" w:rsidTr="00E72371">
        <w:tc>
          <w:tcPr>
            <w:tcW w:w="4825" w:type="dxa"/>
          </w:tcPr>
          <w:p w14:paraId="16E87C47" w14:textId="46B51C37" w:rsidR="00E72371" w:rsidRPr="00F4583E" w:rsidRDefault="00E72371">
            <w:pPr>
              <w:pStyle w:val="TableText"/>
              <w:rPr>
                <w:sz w:val="18"/>
                <w:szCs w:val="18"/>
              </w:rPr>
            </w:pPr>
            <w:r w:rsidRPr="00F4583E">
              <w:rPr>
                <w:sz w:val="18"/>
                <w:szCs w:val="18"/>
              </w:rPr>
              <w:t>Issue of ITT</w:t>
            </w:r>
          </w:p>
        </w:tc>
        <w:tc>
          <w:tcPr>
            <w:tcW w:w="3260" w:type="dxa"/>
          </w:tcPr>
          <w:p w14:paraId="6FF460A5" w14:textId="3F51C75B" w:rsidR="00E72371" w:rsidRPr="002746BF" w:rsidRDefault="00E72371">
            <w:pPr>
              <w:pStyle w:val="TableText"/>
              <w:ind w:left="193"/>
              <w:rPr>
                <w:sz w:val="18"/>
                <w:szCs w:val="18"/>
              </w:rPr>
            </w:pPr>
            <w:r w:rsidRPr="002746BF">
              <w:rPr>
                <w:sz w:val="18"/>
                <w:szCs w:val="18"/>
              </w:rPr>
              <w:t>April 2023</w:t>
            </w:r>
          </w:p>
        </w:tc>
      </w:tr>
      <w:tr w:rsidR="00E72371" w:rsidRPr="00052063" w14:paraId="64331527" w14:textId="77777777" w:rsidTr="00E72371">
        <w:tc>
          <w:tcPr>
            <w:tcW w:w="4825" w:type="dxa"/>
          </w:tcPr>
          <w:p w14:paraId="7FDAF4F3" w14:textId="544AA622" w:rsidR="00E72371" w:rsidRPr="00F4583E" w:rsidRDefault="00E72371">
            <w:pPr>
              <w:pStyle w:val="TableText"/>
              <w:rPr>
                <w:sz w:val="18"/>
                <w:szCs w:val="18"/>
              </w:rPr>
            </w:pPr>
            <w:r w:rsidRPr="00F4583E">
              <w:rPr>
                <w:sz w:val="18"/>
                <w:szCs w:val="18"/>
              </w:rPr>
              <w:t>Closing of ITT</w:t>
            </w:r>
          </w:p>
        </w:tc>
        <w:tc>
          <w:tcPr>
            <w:tcW w:w="3260" w:type="dxa"/>
          </w:tcPr>
          <w:p w14:paraId="0DF3FCBA" w14:textId="3CC1F4C0" w:rsidR="00E72371" w:rsidRPr="002746BF" w:rsidRDefault="00E72371">
            <w:pPr>
              <w:pStyle w:val="TableText"/>
              <w:ind w:left="193"/>
              <w:rPr>
                <w:sz w:val="18"/>
                <w:szCs w:val="18"/>
              </w:rPr>
            </w:pPr>
            <w:r w:rsidRPr="002746BF">
              <w:rPr>
                <w:sz w:val="18"/>
                <w:szCs w:val="18"/>
              </w:rPr>
              <w:t>June 2023</w:t>
            </w:r>
          </w:p>
        </w:tc>
      </w:tr>
      <w:tr w:rsidR="00E72371" w:rsidRPr="00052063" w14:paraId="2EF8DC12" w14:textId="77777777" w:rsidTr="00E72371">
        <w:tc>
          <w:tcPr>
            <w:tcW w:w="4825" w:type="dxa"/>
          </w:tcPr>
          <w:p w14:paraId="16BF721B" w14:textId="77777777" w:rsidR="00E72371" w:rsidRPr="00F4583E" w:rsidRDefault="00E72371">
            <w:pPr>
              <w:pStyle w:val="TableText"/>
              <w:rPr>
                <w:sz w:val="18"/>
                <w:szCs w:val="18"/>
              </w:rPr>
            </w:pPr>
            <w:r w:rsidRPr="00F4583E">
              <w:rPr>
                <w:sz w:val="18"/>
                <w:szCs w:val="18"/>
              </w:rPr>
              <w:t xml:space="preserve">Expected date for completion of ITT </w:t>
            </w:r>
            <w:r>
              <w:rPr>
                <w:sz w:val="18"/>
                <w:szCs w:val="18"/>
              </w:rPr>
              <w:t>e</w:t>
            </w:r>
            <w:r w:rsidRPr="00F4583E">
              <w:rPr>
                <w:sz w:val="18"/>
                <w:szCs w:val="18"/>
              </w:rPr>
              <w:t>valuation</w:t>
            </w:r>
          </w:p>
        </w:tc>
        <w:tc>
          <w:tcPr>
            <w:tcW w:w="3260" w:type="dxa"/>
          </w:tcPr>
          <w:p w14:paraId="49892FBA" w14:textId="57697CD9" w:rsidR="00E72371" w:rsidRPr="002746BF" w:rsidRDefault="00E72371">
            <w:pPr>
              <w:pStyle w:val="TableText"/>
              <w:ind w:left="193"/>
              <w:rPr>
                <w:sz w:val="18"/>
                <w:szCs w:val="18"/>
              </w:rPr>
            </w:pPr>
            <w:r w:rsidRPr="002746BF">
              <w:rPr>
                <w:sz w:val="18"/>
                <w:szCs w:val="18"/>
              </w:rPr>
              <w:t>August 2023</w:t>
            </w:r>
          </w:p>
        </w:tc>
      </w:tr>
      <w:tr w:rsidR="00E72371" w:rsidRPr="00052063" w14:paraId="3893BC08" w14:textId="77777777" w:rsidTr="00E72371">
        <w:tc>
          <w:tcPr>
            <w:tcW w:w="4825" w:type="dxa"/>
            <w:shd w:val="clear" w:color="auto" w:fill="auto"/>
          </w:tcPr>
          <w:p w14:paraId="1C1F6ECA" w14:textId="77777777" w:rsidR="00E72371" w:rsidRPr="00F4583E" w:rsidRDefault="00E72371">
            <w:pPr>
              <w:pStyle w:val="TableText"/>
              <w:rPr>
                <w:sz w:val="18"/>
                <w:szCs w:val="18"/>
              </w:rPr>
            </w:pPr>
            <w:r w:rsidRPr="00F4583E">
              <w:rPr>
                <w:sz w:val="18"/>
                <w:szCs w:val="18"/>
              </w:rPr>
              <w:t>Negotiation with preferred Tenderer(s)</w:t>
            </w:r>
          </w:p>
        </w:tc>
        <w:tc>
          <w:tcPr>
            <w:tcW w:w="3260" w:type="dxa"/>
          </w:tcPr>
          <w:p w14:paraId="7CEA0376" w14:textId="74C56E0A" w:rsidR="00E72371" w:rsidRPr="002746BF" w:rsidRDefault="00E72371">
            <w:pPr>
              <w:pStyle w:val="TableText"/>
              <w:ind w:left="193"/>
              <w:rPr>
                <w:sz w:val="18"/>
                <w:szCs w:val="18"/>
              </w:rPr>
            </w:pPr>
            <w:r w:rsidRPr="002746BF">
              <w:rPr>
                <w:sz w:val="18"/>
                <w:szCs w:val="18"/>
              </w:rPr>
              <w:t>September 2023</w:t>
            </w:r>
          </w:p>
        </w:tc>
      </w:tr>
      <w:tr w:rsidR="00E72371" w:rsidRPr="00052063" w14:paraId="199960D9" w14:textId="77777777" w:rsidTr="00E72371">
        <w:tc>
          <w:tcPr>
            <w:tcW w:w="4825" w:type="dxa"/>
            <w:shd w:val="clear" w:color="auto" w:fill="auto"/>
          </w:tcPr>
          <w:p w14:paraId="15F553B2" w14:textId="7663286E" w:rsidR="00E72371" w:rsidRPr="00F4583E" w:rsidRDefault="00E72371">
            <w:pPr>
              <w:pStyle w:val="TableText"/>
              <w:rPr>
                <w:sz w:val="18"/>
                <w:szCs w:val="18"/>
              </w:rPr>
            </w:pPr>
            <w:r>
              <w:rPr>
                <w:sz w:val="18"/>
                <w:szCs w:val="18"/>
              </w:rPr>
              <w:t>Testing (if required)</w:t>
            </w:r>
          </w:p>
        </w:tc>
        <w:tc>
          <w:tcPr>
            <w:tcW w:w="3260" w:type="dxa"/>
          </w:tcPr>
          <w:p w14:paraId="7F9887A9" w14:textId="6062D81F" w:rsidR="00E72371" w:rsidRPr="002746BF" w:rsidRDefault="00E72371">
            <w:pPr>
              <w:pStyle w:val="TableText"/>
              <w:ind w:left="193"/>
              <w:rPr>
                <w:sz w:val="18"/>
                <w:szCs w:val="18"/>
              </w:rPr>
            </w:pPr>
            <w:r w:rsidRPr="002746BF">
              <w:rPr>
                <w:sz w:val="18"/>
                <w:szCs w:val="18"/>
              </w:rPr>
              <w:t>September to November 2023</w:t>
            </w:r>
          </w:p>
        </w:tc>
      </w:tr>
      <w:tr w:rsidR="00E72371" w:rsidRPr="00052063" w14:paraId="30F898AC" w14:textId="77777777" w:rsidTr="00E72371">
        <w:tc>
          <w:tcPr>
            <w:tcW w:w="4825" w:type="dxa"/>
            <w:shd w:val="clear" w:color="auto" w:fill="auto"/>
          </w:tcPr>
          <w:p w14:paraId="16A1439E" w14:textId="7AEE877F" w:rsidR="00E72371" w:rsidRPr="00F4583E" w:rsidRDefault="00E72371">
            <w:pPr>
              <w:pStyle w:val="TableText"/>
              <w:rPr>
                <w:sz w:val="18"/>
                <w:szCs w:val="18"/>
              </w:rPr>
            </w:pPr>
            <w:r w:rsidRPr="00F4583E">
              <w:rPr>
                <w:sz w:val="18"/>
                <w:szCs w:val="18"/>
              </w:rPr>
              <w:t>Contract execution</w:t>
            </w:r>
          </w:p>
        </w:tc>
        <w:tc>
          <w:tcPr>
            <w:tcW w:w="3260" w:type="dxa"/>
          </w:tcPr>
          <w:p w14:paraId="43ABCD87" w14:textId="7B0D961F" w:rsidR="00E72371" w:rsidRPr="002746BF" w:rsidRDefault="00E72371">
            <w:pPr>
              <w:pStyle w:val="TableText"/>
              <w:ind w:left="193"/>
              <w:rPr>
                <w:sz w:val="18"/>
                <w:szCs w:val="18"/>
              </w:rPr>
            </w:pPr>
            <w:r w:rsidRPr="002746BF">
              <w:rPr>
                <w:sz w:val="18"/>
                <w:szCs w:val="18"/>
              </w:rPr>
              <w:t>December 2023</w:t>
            </w:r>
          </w:p>
        </w:tc>
      </w:tr>
      <w:tr w:rsidR="00F344D0" w:rsidRPr="00052063" w14:paraId="107D3E63" w14:textId="77777777" w:rsidTr="00E72371">
        <w:tc>
          <w:tcPr>
            <w:tcW w:w="4825" w:type="dxa"/>
            <w:shd w:val="clear" w:color="auto" w:fill="auto"/>
          </w:tcPr>
          <w:p w14:paraId="65E8AF68" w14:textId="4B7DD265" w:rsidR="00F344D0" w:rsidRPr="00F4583E" w:rsidRDefault="00F344D0">
            <w:pPr>
              <w:pStyle w:val="TableText"/>
              <w:rPr>
                <w:sz w:val="18"/>
                <w:szCs w:val="18"/>
              </w:rPr>
            </w:pPr>
            <w:r>
              <w:rPr>
                <w:sz w:val="18"/>
                <w:szCs w:val="18"/>
              </w:rPr>
              <w:t xml:space="preserve">SRAS service commencement </w:t>
            </w:r>
          </w:p>
        </w:tc>
        <w:tc>
          <w:tcPr>
            <w:tcW w:w="3260" w:type="dxa"/>
          </w:tcPr>
          <w:p w14:paraId="2A9E2850" w14:textId="3F6116F7" w:rsidR="00F344D0" w:rsidRPr="002746BF" w:rsidRDefault="00F344D0">
            <w:pPr>
              <w:pStyle w:val="TableText"/>
              <w:ind w:left="193"/>
              <w:rPr>
                <w:sz w:val="18"/>
                <w:szCs w:val="18"/>
              </w:rPr>
            </w:pPr>
            <w:r>
              <w:rPr>
                <w:sz w:val="18"/>
                <w:szCs w:val="18"/>
              </w:rPr>
              <w:t xml:space="preserve">1 July 2024 or 1 July 2025 </w:t>
            </w:r>
          </w:p>
        </w:tc>
      </w:tr>
    </w:tbl>
    <w:p w14:paraId="5C69EF61" w14:textId="77777777" w:rsidR="00E72371" w:rsidRDefault="00E72371" w:rsidP="0005173D">
      <w:pPr>
        <w:ind w:left="720"/>
        <w:rPr>
          <w:rFonts w:ascii="Arial Narrow" w:hAnsi="Arial Narrow"/>
        </w:rPr>
      </w:pPr>
    </w:p>
    <w:p w14:paraId="3BC6D9D4" w14:textId="77777777" w:rsidR="00CC1322" w:rsidRPr="00880E07" w:rsidRDefault="00CC1322" w:rsidP="0005173D">
      <w:pPr>
        <w:ind w:left="720"/>
        <w:rPr>
          <w:rFonts w:ascii="Arial Narrow" w:hAnsi="Arial Narrow"/>
        </w:rPr>
      </w:pPr>
    </w:p>
    <w:p w14:paraId="4C641747" w14:textId="77777777" w:rsidR="001715FB" w:rsidRPr="00A86692" w:rsidRDefault="001715FB" w:rsidP="00BB48B1">
      <w:pPr>
        <w:pStyle w:val="ITTHeading2"/>
      </w:pPr>
      <w:r>
        <w:t>Glossary</w:t>
      </w:r>
    </w:p>
    <w:p w14:paraId="36DDD6C2" w14:textId="77777777" w:rsidR="001715FB" w:rsidRDefault="001715FB" w:rsidP="00CF2253">
      <w:pPr>
        <w:pStyle w:val="BodyText"/>
      </w:pPr>
      <w:r>
        <w:t>I</w:t>
      </w:r>
      <w:r w:rsidRPr="00A86692">
        <w:t xml:space="preserve">n this </w:t>
      </w:r>
      <w:r>
        <w:t>document:</w:t>
      </w:r>
    </w:p>
    <w:p w14:paraId="7784B3C1" w14:textId="77777777" w:rsidR="001715FB" w:rsidRPr="00185852" w:rsidRDefault="001715FB" w:rsidP="0072709B">
      <w:pPr>
        <w:pStyle w:val="ListBullet"/>
      </w:pPr>
      <w:r w:rsidRPr="00185852">
        <w:t>A capitalised word or phrase has the meaning set out opposite that word or phrase below</w:t>
      </w:r>
      <w:r w:rsidR="00CF2253">
        <w:t>.</w:t>
      </w:r>
    </w:p>
    <w:p w14:paraId="38F0E6CE" w14:textId="09F36010" w:rsidR="001715FB" w:rsidRPr="00185852" w:rsidRDefault="001715FB" w:rsidP="0072709B">
      <w:pPr>
        <w:pStyle w:val="ListBullet"/>
      </w:pPr>
      <w:r w:rsidRPr="00185852">
        <w:t xml:space="preserve">A word or phrase </w:t>
      </w:r>
      <w:r w:rsidRPr="00CF2253">
        <w:rPr>
          <w:i/>
        </w:rPr>
        <w:t xml:space="preserve">in </w:t>
      </w:r>
      <w:r w:rsidR="00776EDB">
        <w:rPr>
          <w:i/>
        </w:rPr>
        <w:t>italics</w:t>
      </w:r>
      <w:r w:rsidRPr="00185852">
        <w:t xml:space="preserve"> has the same meaning as given to that term in the NER</w:t>
      </w:r>
      <w:r w:rsidR="00CF2253">
        <w:t>.</w:t>
      </w:r>
    </w:p>
    <w:p w14:paraId="0CD331B3" w14:textId="77777777" w:rsidR="001715FB" w:rsidRDefault="001715FB" w:rsidP="0072709B">
      <w:pPr>
        <w:pStyle w:val="ListBullet"/>
      </w:pPr>
      <w:r w:rsidRPr="00185852">
        <w:t xml:space="preserve">Unless the context otherwise requires, this document will be interpreted in accordance with Schedule 2 of the </w:t>
      </w:r>
      <w:r w:rsidRPr="00CF2253">
        <w:rPr>
          <w:i/>
          <w:szCs w:val="20"/>
          <w:lang w:val="en-AU" w:eastAsia="en-US"/>
        </w:rPr>
        <w:t>National Electricity Law</w:t>
      </w:r>
      <w:r w:rsidRPr="00185852">
        <w:t>.</w:t>
      </w:r>
    </w:p>
    <w:p w14:paraId="1D2650BC" w14:textId="77777777" w:rsidR="00B2380E" w:rsidRPr="00185852" w:rsidRDefault="00B2380E" w:rsidP="00B2380E">
      <w:pPr>
        <w:pStyle w:val="ListBullet"/>
        <w:numPr>
          <w:ilvl w:val="0"/>
          <w:numId w:val="0"/>
        </w:numPr>
        <w:ind w:left="993"/>
      </w:pPr>
    </w:p>
    <w:tbl>
      <w:tblPr>
        <w:tblW w:w="8611" w:type="dxa"/>
        <w:tblInd w:w="959" w:type="dxa"/>
        <w:tblLayout w:type="fixed"/>
        <w:tblLook w:val="0000" w:firstRow="0" w:lastRow="0" w:firstColumn="0" w:lastColumn="0" w:noHBand="0" w:noVBand="0"/>
      </w:tblPr>
      <w:tblGrid>
        <w:gridCol w:w="2835"/>
        <w:gridCol w:w="5776"/>
      </w:tblGrid>
      <w:tr w:rsidR="004338AF" w:rsidRPr="00014B5A" w14:paraId="3E750D9E" w14:textId="77777777" w:rsidTr="00172AFA">
        <w:tc>
          <w:tcPr>
            <w:tcW w:w="2835" w:type="dxa"/>
            <w:shd w:val="clear" w:color="auto" w:fill="F2F2F2" w:themeFill="background1" w:themeFillShade="F2"/>
          </w:tcPr>
          <w:p w14:paraId="61F3F252" w14:textId="77777777" w:rsidR="004338AF" w:rsidRPr="00014B5A" w:rsidRDefault="004338AF" w:rsidP="00314503">
            <w:pPr>
              <w:rPr>
                <w:rFonts w:ascii="Arial Narrow" w:hAnsi="Arial Narrow"/>
                <w:b/>
                <w:sz w:val="20"/>
              </w:rPr>
            </w:pPr>
            <w:r w:rsidRPr="00014B5A">
              <w:rPr>
                <w:rFonts w:ascii="Arial Narrow" w:hAnsi="Arial Narrow"/>
                <w:b/>
                <w:sz w:val="20"/>
              </w:rPr>
              <w:t>Addend</w:t>
            </w:r>
            <w:r>
              <w:rPr>
                <w:rFonts w:ascii="Arial Narrow" w:hAnsi="Arial Narrow"/>
                <w:b/>
                <w:sz w:val="20"/>
              </w:rPr>
              <w:t>um</w:t>
            </w:r>
          </w:p>
        </w:tc>
        <w:tc>
          <w:tcPr>
            <w:tcW w:w="5776" w:type="dxa"/>
          </w:tcPr>
          <w:p w14:paraId="66A40C34" w14:textId="77777777" w:rsidR="004338AF" w:rsidRPr="00014B5A" w:rsidRDefault="004338AF" w:rsidP="001E49C7">
            <w:pPr>
              <w:jc w:val="both"/>
              <w:rPr>
                <w:rFonts w:ascii="Arial Narrow" w:hAnsi="Arial Narrow"/>
                <w:sz w:val="20"/>
              </w:rPr>
            </w:pPr>
            <w:r w:rsidRPr="00014B5A">
              <w:rPr>
                <w:rFonts w:ascii="Arial Narrow" w:hAnsi="Arial Narrow"/>
                <w:sz w:val="20"/>
              </w:rPr>
              <w:t xml:space="preserve">Any document issued after the date of this </w:t>
            </w:r>
            <w:r w:rsidR="001E49C7">
              <w:rPr>
                <w:rFonts w:ascii="Arial Narrow" w:hAnsi="Arial Narrow"/>
                <w:sz w:val="20"/>
              </w:rPr>
              <w:t xml:space="preserve">Invitation to </w:t>
            </w:r>
            <w:r w:rsidR="001E49C7" w:rsidRPr="0064064B">
              <w:rPr>
                <w:rFonts w:ascii="Arial Narrow" w:hAnsi="Arial Narrow"/>
                <w:sz w:val="20"/>
              </w:rPr>
              <w:t>Tender</w:t>
            </w:r>
            <w:r w:rsidRPr="00014B5A">
              <w:rPr>
                <w:rFonts w:ascii="Arial Narrow" w:hAnsi="Arial Narrow"/>
                <w:sz w:val="20"/>
              </w:rPr>
              <w:t xml:space="preserve"> and labelled as an “Addendum” to this </w:t>
            </w:r>
            <w:r w:rsidR="001E49C7">
              <w:rPr>
                <w:rFonts w:ascii="Arial Narrow" w:hAnsi="Arial Narrow"/>
                <w:sz w:val="20"/>
              </w:rPr>
              <w:t xml:space="preserve">Invitation to </w:t>
            </w:r>
            <w:r w:rsidR="001E49C7" w:rsidRPr="0064064B">
              <w:rPr>
                <w:rFonts w:ascii="Arial Narrow" w:hAnsi="Arial Narrow"/>
                <w:sz w:val="20"/>
              </w:rPr>
              <w:t>Tender</w:t>
            </w:r>
            <w:r w:rsidRPr="00014B5A">
              <w:rPr>
                <w:rFonts w:ascii="Arial Narrow" w:hAnsi="Arial Narrow"/>
                <w:sz w:val="20"/>
              </w:rPr>
              <w:t>; collectively known as “Addenda”.</w:t>
            </w:r>
          </w:p>
        </w:tc>
      </w:tr>
      <w:tr w:rsidR="004338AF" w:rsidRPr="00014B5A" w14:paraId="0C6F3A22" w14:textId="77777777" w:rsidTr="00172AFA">
        <w:tc>
          <w:tcPr>
            <w:tcW w:w="2835" w:type="dxa"/>
            <w:shd w:val="clear" w:color="auto" w:fill="F2F2F2" w:themeFill="background1" w:themeFillShade="F2"/>
          </w:tcPr>
          <w:p w14:paraId="2B98415D" w14:textId="77777777" w:rsidR="004338AF" w:rsidRPr="00014B5A" w:rsidRDefault="004338AF" w:rsidP="00314503">
            <w:pPr>
              <w:rPr>
                <w:rFonts w:ascii="Arial Narrow" w:hAnsi="Arial Narrow"/>
                <w:b/>
                <w:sz w:val="20"/>
              </w:rPr>
            </w:pPr>
            <w:r w:rsidRPr="00014B5A">
              <w:rPr>
                <w:rFonts w:ascii="Arial Narrow" w:hAnsi="Arial Narrow"/>
                <w:b/>
                <w:sz w:val="20"/>
              </w:rPr>
              <w:t>AEMO</w:t>
            </w:r>
          </w:p>
        </w:tc>
        <w:tc>
          <w:tcPr>
            <w:tcW w:w="5776" w:type="dxa"/>
          </w:tcPr>
          <w:p w14:paraId="0B1053E5" w14:textId="77777777" w:rsidR="004338AF" w:rsidRPr="00014B5A" w:rsidRDefault="004338AF" w:rsidP="00314503">
            <w:pPr>
              <w:jc w:val="both"/>
              <w:rPr>
                <w:rFonts w:ascii="Arial Narrow" w:hAnsi="Arial Narrow"/>
                <w:sz w:val="20"/>
              </w:rPr>
            </w:pPr>
            <w:r w:rsidRPr="00014B5A">
              <w:rPr>
                <w:rFonts w:ascii="Arial Narrow" w:hAnsi="Arial Narrow"/>
                <w:sz w:val="20"/>
              </w:rPr>
              <w:t>Australian Energy Market Operator Limited ABN 94 072 010 327. References to AEMO include, where the context requires, AEMO’s employees, officers, contractors, consultants, advisers and other persons authorised to act for AEMO.</w:t>
            </w:r>
          </w:p>
        </w:tc>
      </w:tr>
      <w:tr w:rsidR="00172AFA" w:rsidRPr="00014B5A" w14:paraId="1AB8D14F" w14:textId="77777777" w:rsidTr="00172AFA">
        <w:tc>
          <w:tcPr>
            <w:tcW w:w="2835" w:type="dxa"/>
            <w:shd w:val="clear" w:color="auto" w:fill="F2F2F2" w:themeFill="background1" w:themeFillShade="F2"/>
          </w:tcPr>
          <w:p w14:paraId="40F9B3C2" w14:textId="776362E0" w:rsidR="00172AFA" w:rsidRDefault="00172AFA" w:rsidP="00314503">
            <w:pPr>
              <w:rPr>
                <w:rFonts w:ascii="Arial Narrow" w:hAnsi="Arial Narrow" w:cs="Arial"/>
                <w:b/>
                <w:sz w:val="20"/>
              </w:rPr>
            </w:pPr>
            <w:r>
              <w:rPr>
                <w:rFonts w:ascii="Arial Narrow" w:hAnsi="Arial Narrow" w:cs="Arial"/>
                <w:b/>
                <w:sz w:val="20"/>
              </w:rPr>
              <w:t>AEMO Contact</w:t>
            </w:r>
          </w:p>
        </w:tc>
        <w:tc>
          <w:tcPr>
            <w:tcW w:w="5776" w:type="dxa"/>
          </w:tcPr>
          <w:p w14:paraId="4671E707" w14:textId="316024FA" w:rsidR="00172AFA" w:rsidRDefault="00172AFA" w:rsidP="001E49C7">
            <w:pPr>
              <w:jc w:val="both"/>
              <w:rPr>
                <w:rFonts w:ascii="Arial Narrow" w:hAnsi="Arial Narrow" w:cs="Arial"/>
                <w:sz w:val="20"/>
              </w:rPr>
            </w:pPr>
            <w:r>
              <w:rPr>
                <w:rFonts w:ascii="Arial Narrow" w:hAnsi="Arial Narrow" w:cs="Arial"/>
                <w:sz w:val="20"/>
              </w:rPr>
              <w:t xml:space="preserve">The </w:t>
            </w:r>
            <w:r w:rsidRPr="00172AFA">
              <w:rPr>
                <w:rFonts w:ascii="Arial Narrow" w:hAnsi="Arial Narrow" w:cs="Arial"/>
                <w:sz w:val="20"/>
              </w:rPr>
              <w:t>AEMO SRAS</w:t>
            </w:r>
            <w:r w:rsidR="0088372E">
              <w:rPr>
                <w:rFonts w:ascii="Arial Narrow" w:hAnsi="Arial Narrow" w:cs="Arial"/>
                <w:sz w:val="20"/>
              </w:rPr>
              <w:t xml:space="preserve"> Project</w:t>
            </w:r>
            <w:r w:rsidRPr="00172AFA">
              <w:rPr>
                <w:rFonts w:ascii="Arial Narrow" w:hAnsi="Arial Narrow" w:cs="Arial"/>
                <w:sz w:val="20"/>
              </w:rPr>
              <w:t xml:space="preserve"> Manager</w:t>
            </w:r>
          </w:p>
        </w:tc>
      </w:tr>
      <w:tr w:rsidR="004338AF" w:rsidRPr="00014B5A" w14:paraId="6CF02512" w14:textId="77777777" w:rsidTr="00172AFA">
        <w:tc>
          <w:tcPr>
            <w:tcW w:w="2835" w:type="dxa"/>
            <w:shd w:val="clear" w:color="auto" w:fill="F2F2F2" w:themeFill="background1" w:themeFillShade="F2"/>
          </w:tcPr>
          <w:p w14:paraId="2215D7D6" w14:textId="2051A2BA" w:rsidR="004338AF" w:rsidRPr="00014B5A" w:rsidRDefault="004338AF" w:rsidP="00314503">
            <w:pPr>
              <w:rPr>
                <w:rFonts w:ascii="Arial Narrow" w:hAnsi="Arial Narrow" w:cs="Arial"/>
                <w:b/>
                <w:sz w:val="20"/>
              </w:rPr>
            </w:pPr>
            <w:r>
              <w:rPr>
                <w:rFonts w:ascii="Arial Narrow" w:hAnsi="Arial Narrow" w:cs="Arial"/>
                <w:b/>
                <w:sz w:val="20"/>
              </w:rPr>
              <w:t xml:space="preserve">AEMO SRAS </w:t>
            </w:r>
            <w:r w:rsidR="00172AFA">
              <w:rPr>
                <w:rFonts w:ascii="Arial Narrow" w:hAnsi="Arial Narrow" w:cs="Arial"/>
                <w:b/>
                <w:sz w:val="20"/>
              </w:rPr>
              <w:t xml:space="preserve">Project </w:t>
            </w:r>
            <w:r>
              <w:rPr>
                <w:rFonts w:ascii="Arial Narrow" w:hAnsi="Arial Narrow" w:cs="Arial"/>
                <w:b/>
                <w:sz w:val="20"/>
              </w:rPr>
              <w:t>Manager</w:t>
            </w:r>
          </w:p>
        </w:tc>
        <w:tc>
          <w:tcPr>
            <w:tcW w:w="5776" w:type="dxa"/>
          </w:tcPr>
          <w:p w14:paraId="3B05EA09" w14:textId="77777777" w:rsidR="004338AF" w:rsidRPr="00014B5A" w:rsidRDefault="004338AF" w:rsidP="001E49C7">
            <w:pPr>
              <w:jc w:val="both"/>
              <w:rPr>
                <w:rFonts w:ascii="Arial Narrow" w:hAnsi="Arial Narrow" w:cs="Arial"/>
                <w:sz w:val="20"/>
              </w:rPr>
            </w:pPr>
            <w:r>
              <w:rPr>
                <w:rFonts w:ascii="Arial Narrow" w:hAnsi="Arial Narrow" w:cs="Arial"/>
                <w:sz w:val="20"/>
              </w:rPr>
              <w:t xml:space="preserve">The person specified on the cover of this </w:t>
            </w:r>
            <w:r w:rsidR="001E49C7">
              <w:rPr>
                <w:rFonts w:ascii="Arial Narrow" w:hAnsi="Arial Narrow" w:cs="Arial"/>
                <w:sz w:val="20"/>
              </w:rPr>
              <w:t xml:space="preserve">Invitation to </w:t>
            </w:r>
            <w:r w:rsidR="001E49C7" w:rsidRPr="0064064B">
              <w:rPr>
                <w:rFonts w:ascii="Arial Narrow" w:hAnsi="Arial Narrow" w:cs="Arial"/>
                <w:sz w:val="20"/>
              </w:rPr>
              <w:t>Tender</w:t>
            </w:r>
            <w:r>
              <w:rPr>
                <w:rFonts w:ascii="Arial Narrow" w:hAnsi="Arial Narrow" w:cs="Arial"/>
                <w:sz w:val="20"/>
              </w:rPr>
              <w:t>.</w:t>
            </w:r>
          </w:p>
        </w:tc>
      </w:tr>
      <w:tr w:rsidR="004338AF" w:rsidRPr="00014B5A" w14:paraId="7EA536DE" w14:textId="77777777" w:rsidTr="00172AFA">
        <w:tc>
          <w:tcPr>
            <w:tcW w:w="2835" w:type="dxa"/>
            <w:shd w:val="clear" w:color="auto" w:fill="F2F2F2" w:themeFill="background1" w:themeFillShade="F2"/>
          </w:tcPr>
          <w:p w14:paraId="7CD9E597" w14:textId="77777777" w:rsidR="004338AF" w:rsidRPr="00014B5A" w:rsidRDefault="004338AF" w:rsidP="00314503">
            <w:pPr>
              <w:rPr>
                <w:rFonts w:ascii="Arial Narrow" w:hAnsi="Arial Narrow"/>
                <w:b/>
                <w:sz w:val="20"/>
              </w:rPr>
            </w:pPr>
            <w:r w:rsidRPr="00014B5A">
              <w:rPr>
                <w:rFonts w:ascii="Arial Narrow" w:hAnsi="Arial Narrow"/>
                <w:b/>
                <w:sz w:val="20"/>
              </w:rPr>
              <w:t>Business Days</w:t>
            </w:r>
          </w:p>
        </w:tc>
        <w:tc>
          <w:tcPr>
            <w:tcW w:w="5776" w:type="dxa"/>
          </w:tcPr>
          <w:p w14:paraId="4E49C206" w14:textId="32523320" w:rsidR="004338AF" w:rsidRPr="00014B5A" w:rsidRDefault="004338AF" w:rsidP="00314503">
            <w:pPr>
              <w:jc w:val="both"/>
              <w:rPr>
                <w:rFonts w:ascii="Arial Narrow" w:hAnsi="Arial Narrow"/>
                <w:sz w:val="20"/>
              </w:rPr>
            </w:pPr>
            <w:r w:rsidRPr="00014B5A">
              <w:rPr>
                <w:rFonts w:ascii="Arial Narrow" w:hAnsi="Arial Narrow"/>
                <w:sz w:val="20"/>
              </w:rPr>
              <w:t>A day other than Saturday, Sunday and any other day not taken to be a public holiday.</w:t>
            </w:r>
          </w:p>
        </w:tc>
      </w:tr>
      <w:tr w:rsidR="004338AF" w:rsidRPr="00014B5A" w14:paraId="68551D2E" w14:textId="77777777" w:rsidTr="00172AFA">
        <w:tc>
          <w:tcPr>
            <w:tcW w:w="2835" w:type="dxa"/>
            <w:shd w:val="clear" w:color="auto" w:fill="F2F2F2" w:themeFill="background1" w:themeFillShade="F2"/>
          </w:tcPr>
          <w:p w14:paraId="2336E8EC" w14:textId="77777777" w:rsidR="004338AF" w:rsidRPr="00014B5A" w:rsidRDefault="004338AF" w:rsidP="00314503">
            <w:pPr>
              <w:rPr>
                <w:rFonts w:ascii="Arial Narrow" w:hAnsi="Arial Narrow" w:cs="Arial"/>
                <w:b/>
                <w:sz w:val="20"/>
              </w:rPr>
            </w:pPr>
            <w:r>
              <w:rPr>
                <w:rFonts w:ascii="Arial Narrow" w:hAnsi="Arial Narrow" w:cs="Arial"/>
                <w:b/>
                <w:sz w:val="20"/>
              </w:rPr>
              <w:t>Closing Date</w:t>
            </w:r>
          </w:p>
        </w:tc>
        <w:tc>
          <w:tcPr>
            <w:tcW w:w="5776" w:type="dxa"/>
          </w:tcPr>
          <w:p w14:paraId="0C926C65" w14:textId="77777777" w:rsidR="004338AF" w:rsidRPr="00014B5A" w:rsidRDefault="004338AF" w:rsidP="001E49C7">
            <w:pPr>
              <w:jc w:val="both"/>
              <w:rPr>
                <w:rFonts w:ascii="Arial Narrow" w:hAnsi="Arial Narrow" w:cs="Arial"/>
                <w:sz w:val="20"/>
              </w:rPr>
            </w:pPr>
            <w:r>
              <w:rPr>
                <w:rFonts w:ascii="Arial Narrow" w:hAnsi="Arial Narrow" w:cs="Arial"/>
                <w:sz w:val="20"/>
              </w:rPr>
              <w:t xml:space="preserve">The date specified on the cover of this </w:t>
            </w:r>
            <w:r w:rsidR="001E49C7">
              <w:rPr>
                <w:rFonts w:ascii="Arial Narrow" w:hAnsi="Arial Narrow" w:cs="Arial"/>
                <w:sz w:val="20"/>
              </w:rPr>
              <w:t xml:space="preserve">Invitation to </w:t>
            </w:r>
            <w:r w:rsidR="001E49C7" w:rsidRPr="0064064B">
              <w:rPr>
                <w:rFonts w:ascii="Arial Narrow" w:hAnsi="Arial Narrow" w:cs="Arial"/>
                <w:sz w:val="20"/>
              </w:rPr>
              <w:t>Tender</w:t>
            </w:r>
            <w:r>
              <w:rPr>
                <w:rFonts w:ascii="Arial Narrow" w:hAnsi="Arial Narrow" w:cs="Arial"/>
                <w:sz w:val="20"/>
              </w:rPr>
              <w:t>.</w:t>
            </w:r>
          </w:p>
        </w:tc>
      </w:tr>
      <w:tr w:rsidR="004338AF" w:rsidRPr="00014B5A" w14:paraId="384B3C3F" w14:textId="77777777" w:rsidTr="00172AFA">
        <w:tc>
          <w:tcPr>
            <w:tcW w:w="2835" w:type="dxa"/>
            <w:shd w:val="clear" w:color="auto" w:fill="F2F2F2" w:themeFill="background1" w:themeFillShade="F2"/>
          </w:tcPr>
          <w:p w14:paraId="244D5A49" w14:textId="77777777" w:rsidR="004338AF" w:rsidRPr="00014B5A" w:rsidRDefault="004338AF" w:rsidP="00314503">
            <w:pPr>
              <w:rPr>
                <w:rFonts w:ascii="Arial Narrow" w:hAnsi="Arial Narrow" w:cs="Arial"/>
                <w:b/>
                <w:sz w:val="20"/>
              </w:rPr>
            </w:pPr>
            <w:r w:rsidRPr="00014B5A">
              <w:rPr>
                <w:rFonts w:ascii="Arial Narrow" w:hAnsi="Arial Narrow" w:cs="Arial"/>
                <w:b/>
                <w:sz w:val="20"/>
              </w:rPr>
              <w:t>Delivery Point</w:t>
            </w:r>
          </w:p>
        </w:tc>
        <w:tc>
          <w:tcPr>
            <w:tcW w:w="5776" w:type="dxa"/>
          </w:tcPr>
          <w:p w14:paraId="468D5D90" w14:textId="30BC1EA8" w:rsidR="004338AF" w:rsidRPr="00014B5A" w:rsidRDefault="005767F0" w:rsidP="004E4A78">
            <w:pPr>
              <w:jc w:val="both"/>
              <w:rPr>
                <w:rFonts w:ascii="Arial Narrow" w:hAnsi="Arial Narrow" w:cs="Arial"/>
                <w:sz w:val="20"/>
                <w:highlight w:val="yellow"/>
              </w:rPr>
            </w:pPr>
            <w:r w:rsidRPr="0064064B">
              <w:rPr>
                <w:rFonts w:ascii="Arial Narrow" w:hAnsi="Arial Narrow" w:cs="Arial"/>
                <w:sz w:val="20"/>
              </w:rPr>
              <w:t xml:space="preserve">The </w:t>
            </w:r>
            <w:r w:rsidR="007B7C28">
              <w:rPr>
                <w:rFonts w:ascii="Arial Narrow" w:hAnsi="Arial Narrow" w:cs="Arial"/>
                <w:sz w:val="20"/>
              </w:rPr>
              <w:t xml:space="preserve">agreed point on </w:t>
            </w:r>
            <w:r w:rsidR="00344843">
              <w:rPr>
                <w:rFonts w:ascii="Arial Narrow" w:hAnsi="Arial Narrow" w:cs="Arial"/>
                <w:sz w:val="20"/>
              </w:rPr>
              <w:t>a</w:t>
            </w:r>
            <w:r w:rsidR="007B7C28">
              <w:rPr>
                <w:rFonts w:ascii="Arial Narrow" w:hAnsi="Arial Narrow" w:cs="Arial"/>
                <w:sz w:val="20"/>
              </w:rPr>
              <w:t xml:space="preserve"> transmission network </w:t>
            </w:r>
            <w:r w:rsidR="000A5F24">
              <w:rPr>
                <w:rFonts w:ascii="Arial Narrow" w:hAnsi="Arial Narrow" w:cs="Arial"/>
                <w:sz w:val="20"/>
              </w:rPr>
              <w:t>that is to be energised</w:t>
            </w:r>
            <w:r w:rsidR="007B7C28">
              <w:rPr>
                <w:rFonts w:ascii="Arial Narrow" w:hAnsi="Arial Narrow" w:cs="Arial"/>
                <w:sz w:val="20"/>
              </w:rPr>
              <w:t xml:space="preserve"> by SRAS Equipment,</w:t>
            </w:r>
            <w:r w:rsidR="00C20198">
              <w:rPr>
                <w:rFonts w:ascii="Arial Narrow" w:hAnsi="Arial Narrow" w:cs="Arial"/>
                <w:sz w:val="20"/>
              </w:rPr>
              <w:t xml:space="preserve"> located </w:t>
            </w:r>
            <w:r w:rsidR="00AD4C2B">
              <w:rPr>
                <w:rFonts w:ascii="Arial Narrow" w:hAnsi="Arial Narrow" w:cs="Arial"/>
                <w:sz w:val="20"/>
              </w:rPr>
              <w:t xml:space="preserve">at or </w:t>
            </w:r>
            <w:r w:rsidR="00C20198">
              <w:rPr>
                <w:rFonts w:ascii="Arial Narrow" w:hAnsi="Arial Narrow" w:cs="Arial"/>
                <w:sz w:val="20"/>
              </w:rPr>
              <w:t xml:space="preserve">downstream of the </w:t>
            </w:r>
            <w:r w:rsidRPr="0064064B">
              <w:rPr>
                <w:rFonts w:ascii="Arial Narrow" w:hAnsi="Arial Narrow" w:cs="Arial"/>
                <w:i/>
                <w:sz w:val="20"/>
              </w:rPr>
              <w:t>transmission network</w:t>
            </w:r>
            <w:r w:rsidRPr="0064064B">
              <w:rPr>
                <w:rFonts w:ascii="Arial Narrow" w:hAnsi="Arial Narrow" w:cs="Arial"/>
                <w:sz w:val="20"/>
              </w:rPr>
              <w:t xml:space="preserve"> </w:t>
            </w:r>
            <w:r w:rsidRPr="0064064B">
              <w:rPr>
                <w:rFonts w:ascii="Arial Narrow" w:hAnsi="Arial Narrow" w:cs="Arial"/>
                <w:i/>
                <w:sz w:val="20"/>
              </w:rPr>
              <w:t>connection point</w:t>
            </w:r>
            <w:r w:rsidRPr="0064064B">
              <w:rPr>
                <w:rFonts w:ascii="Arial Narrow" w:hAnsi="Arial Narrow" w:cs="Arial"/>
                <w:sz w:val="20"/>
              </w:rPr>
              <w:t xml:space="preserve"> to which the </w:t>
            </w:r>
            <w:r w:rsidR="004E4A78">
              <w:rPr>
                <w:rFonts w:ascii="Arial Narrow" w:hAnsi="Arial Narrow" w:cs="Arial"/>
                <w:sz w:val="20"/>
              </w:rPr>
              <w:t xml:space="preserve">relevant </w:t>
            </w:r>
            <w:r w:rsidR="004E4A78">
              <w:rPr>
                <w:rFonts w:ascii="Arial Narrow" w:hAnsi="Arial Narrow" w:cs="Arial"/>
                <w:i/>
                <w:sz w:val="20"/>
              </w:rPr>
              <w:t xml:space="preserve">facility’s connection point </w:t>
            </w:r>
            <w:r w:rsidR="00375A23">
              <w:rPr>
                <w:rFonts w:ascii="Arial Narrow" w:hAnsi="Arial Narrow" w:cs="Arial"/>
                <w:sz w:val="20"/>
              </w:rPr>
              <w:t xml:space="preserve">SRAS Equipment </w:t>
            </w:r>
            <w:r w:rsidRPr="0064064B">
              <w:rPr>
                <w:rFonts w:ascii="Arial Narrow" w:hAnsi="Arial Narrow" w:cs="Arial"/>
                <w:sz w:val="20"/>
              </w:rPr>
              <w:t>is assigned in the</w:t>
            </w:r>
            <w:r w:rsidRPr="0064064B">
              <w:rPr>
                <w:rFonts w:ascii="Arial Narrow" w:hAnsi="Arial Narrow" w:cs="Arial"/>
                <w:i/>
                <w:sz w:val="20"/>
              </w:rPr>
              <w:t xml:space="preserve"> NEM</w:t>
            </w:r>
            <w:r w:rsidR="000A5F24">
              <w:rPr>
                <w:rFonts w:ascii="Arial Narrow" w:hAnsi="Arial Narrow" w:cs="Arial"/>
                <w:sz w:val="20"/>
              </w:rPr>
              <w:t xml:space="preserve">. The Delivery Point for a Service is </w:t>
            </w:r>
            <w:r w:rsidR="00423C5E">
              <w:rPr>
                <w:rFonts w:ascii="Arial Narrow" w:hAnsi="Arial Narrow" w:cs="Arial"/>
                <w:sz w:val="20"/>
              </w:rPr>
              <w:t xml:space="preserve">to be </w:t>
            </w:r>
            <w:r w:rsidR="00344843">
              <w:rPr>
                <w:rFonts w:ascii="Arial Narrow" w:hAnsi="Arial Narrow" w:cs="Arial"/>
                <w:sz w:val="20"/>
              </w:rPr>
              <w:t xml:space="preserve">specified </w:t>
            </w:r>
            <w:r w:rsidR="00AD4C2B">
              <w:rPr>
                <w:rFonts w:ascii="Arial Narrow" w:hAnsi="Arial Narrow" w:cs="Arial"/>
                <w:sz w:val="20"/>
              </w:rPr>
              <w:t>in Schedule 2</w:t>
            </w:r>
            <w:r w:rsidR="00423C5E">
              <w:rPr>
                <w:rFonts w:ascii="Arial Narrow" w:hAnsi="Arial Narrow" w:cs="Arial"/>
                <w:sz w:val="20"/>
              </w:rPr>
              <w:t xml:space="preserve"> of the Tender Form</w:t>
            </w:r>
            <w:r w:rsidRPr="0064064B">
              <w:rPr>
                <w:rFonts w:ascii="Arial Narrow" w:hAnsi="Arial Narrow" w:cs="Arial"/>
                <w:i/>
                <w:sz w:val="20"/>
              </w:rPr>
              <w:t>.</w:t>
            </w:r>
          </w:p>
        </w:tc>
      </w:tr>
      <w:tr w:rsidR="004338AF" w:rsidRPr="00014B5A" w14:paraId="5C261526" w14:textId="77777777" w:rsidTr="00172AFA">
        <w:tc>
          <w:tcPr>
            <w:tcW w:w="2835" w:type="dxa"/>
            <w:shd w:val="clear" w:color="auto" w:fill="F2F2F2" w:themeFill="background1" w:themeFillShade="F2"/>
          </w:tcPr>
          <w:p w14:paraId="39531C0C" w14:textId="77777777" w:rsidR="004338AF" w:rsidRPr="00014B5A" w:rsidRDefault="004338AF" w:rsidP="00314503">
            <w:pPr>
              <w:rPr>
                <w:rFonts w:ascii="Arial Narrow" w:hAnsi="Arial Narrow" w:cs="Arial"/>
                <w:sz w:val="20"/>
              </w:rPr>
            </w:pPr>
            <w:r w:rsidRPr="00014B5A">
              <w:rPr>
                <w:rFonts w:ascii="Arial Narrow" w:hAnsi="Arial Narrow" w:cs="Arial"/>
                <w:b/>
                <w:sz w:val="20"/>
              </w:rPr>
              <w:t xml:space="preserve">Event </w:t>
            </w:r>
            <w:r w:rsidRPr="00014B5A">
              <w:rPr>
                <w:rFonts w:ascii="Arial Narrow" w:hAnsi="Arial Narrow" w:cs="Arial"/>
                <w:sz w:val="20"/>
              </w:rPr>
              <w:t xml:space="preserve">or </w:t>
            </w:r>
            <w:r w:rsidRPr="00014B5A">
              <w:rPr>
                <w:rFonts w:ascii="Arial Narrow" w:hAnsi="Arial Narrow" w:cs="Arial"/>
                <w:b/>
                <w:sz w:val="20"/>
              </w:rPr>
              <w:t>Events</w:t>
            </w:r>
          </w:p>
        </w:tc>
        <w:tc>
          <w:tcPr>
            <w:tcW w:w="5776" w:type="dxa"/>
          </w:tcPr>
          <w:p w14:paraId="4467C60F" w14:textId="77777777" w:rsidR="004338AF" w:rsidRPr="00014B5A" w:rsidRDefault="004338AF" w:rsidP="00314503">
            <w:pPr>
              <w:jc w:val="both"/>
              <w:rPr>
                <w:rFonts w:ascii="Arial Narrow" w:hAnsi="Arial Narrow" w:cs="Arial"/>
                <w:sz w:val="20"/>
              </w:rPr>
            </w:pPr>
            <w:r w:rsidRPr="00014B5A">
              <w:rPr>
                <w:rFonts w:ascii="Arial Narrow" w:hAnsi="Arial Narrow" w:cs="Arial"/>
                <w:caps/>
                <w:sz w:val="20"/>
              </w:rPr>
              <w:t>a</w:t>
            </w:r>
            <w:r w:rsidRPr="00014B5A">
              <w:rPr>
                <w:rFonts w:ascii="Arial Narrow" w:hAnsi="Arial Narrow" w:cs="Arial"/>
                <w:sz w:val="20"/>
              </w:rPr>
              <w:t xml:space="preserve"> </w:t>
            </w:r>
            <w:r w:rsidRPr="00014B5A">
              <w:rPr>
                <w:rFonts w:ascii="Arial Narrow" w:hAnsi="Arial Narrow" w:cs="Arial"/>
                <w:i/>
                <w:sz w:val="20"/>
              </w:rPr>
              <w:t>major supply disruption</w:t>
            </w:r>
            <w:r w:rsidRPr="00014B5A">
              <w:rPr>
                <w:rFonts w:ascii="Arial Narrow" w:hAnsi="Arial Narrow" w:cs="Arial"/>
                <w:sz w:val="20"/>
              </w:rPr>
              <w:t xml:space="preserve"> or a series of related </w:t>
            </w:r>
            <w:r w:rsidRPr="00014B5A">
              <w:rPr>
                <w:rFonts w:ascii="Arial Narrow" w:hAnsi="Arial Narrow" w:cs="Arial"/>
                <w:i/>
                <w:sz w:val="20"/>
              </w:rPr>
              <w:t>major supply disruptions</w:t>
            </w:r>
            <w:r w:rsidRPr="00014B5A">
              <w:rPr>
                <w:rFonts w:ascii="Arial Narrow" w:hAnsi="Arial Narrow" w:cs="Arial"/>
                <w:sz w:val="20"/>
              </w:rPr>
              <w:t>.</w:t>
            </w:r>
            <w:r w:rsidRPr="00014B5A">
              <w:rPr>
                <w:rFonts w:ascii="Arial Narrow" w:hAnsi="Arial Narrow" w:cs="Arial"/>
                <w:i/>
                <w:sz w:val="20"/>
              </w:rPr>
              <w:t xml:space="preserve"> </w:t>
            </w:r>
          </w:p>
        </w:tc>
      </w:tr>
      <w:tr w:rsidR="00252E95" w:rsidRPr="00014B5A" w14:paraId="34C1258F" w14:textId="77777777" w:rsidTr="00172AFA">
        <w:tc>
          <w:tcPr>
            <w:tcW w:w="2835" w:type="dxa"/>
            <w:shd w:val="clear" w:color="auto" w:fill="F2F2F2" w:themeFill="background1" w:themeFillShade="F2"/>
          </w:tcPr>
          <w:p w14:paraId="3C063BA1" w14:textId="77777777" w:rsidR="00252E95" w:rsidRPr="00014B5A" w:rsidRDefault="00252E95" w:rsidP="00314503">
            <w:pPr>
              <w:rPr>
                <w:rFonts w:ascii="Arial Narrow" w:hAnsi="Arial Narrow" w:cs="Arial"/>
                <w:b/>
                <w:sz w:val="20"/>
              </w:rPr>
            </w:pPr>
            <w:r>
              <w:rPr>
                <w:rFonts w:ascii="Arial Narrow" w:hAnsi="Arial Narrow" w:cs="Arial"/>
                <w:b/>
                <w:sz w:val="20"/>
              </w:rPr>
              <w:t>ITT or Invitation to Tender</w:t>
            </w:r>
          </w:p>
        </w:tc>
        <w:tc>
          <w:tcPr>
            <w:tcW w:w="5776" w:type="dxa"/>
          </w:tcPr>
          <w:p w14:paraId="562A6DBF" w14:textId="27A5C434" w:rsidR="00252E95" w:rsidRPr="00014B5A" w:rsidRDefault="00C20198" w:rsidP="006B51CE">
            <w:pPr>
              <w:rPr>
                <w:rFonts w:ascii="Arial Narrow" w:hAnsi="Arial Narrow" w:cs="Arial"/>
                <w:sz w:val="20"/>
              </w:rPr>
            </w:pPr>
            <w:r>
              <w:rPr>
                <w:rFonts w:ascii="Arial Narrow" w:hAnsi="Arial Narrow" w:cs="Arial"/>
                <w:sz w:val="20"/>
              </w:rPr>
              <w:t>T</w:t>
            </w:r>
            <w:r w:rsidR="00252E95" w:rsidRPr="00014B5A">
              <w:rPr>
                <w:rFonts w:ascii="Arial Narrow" w:hAnsi="Arial Narrow" w:cs="Arial"/>
                <w:sz w:val="20"/>
              </w:rPr>
              <w:t>h</w:t>
            </w:r>
            <w:r w:rsidR="00252E95">
              <w:rPr>
                <w:rFonts w:ascii="Arial Narrow" w:hAnsi="Arial Narrow" w:cs="Arial"/>
                <w:sz w:val="20"/>
              </w:rPr>
              <w:t xml:space="preserve">is document, including its </w:t>
            </w:r>
            <w:r w:rsidR="00252E95" w:rsidRPr="00014B5A">
              <w:rPr>
                <w:rFonts w:ascii="Arial Narrow" w:hAnsi="Arial Narrow" w:cs="Arial"/>
                <w:bCs/>
                <w:sz w:val="20"/>
              </w:rPr>
              <w:t>schedules, attachments and appendices</w:t>
            </w:r>
            <w:r w:rsidR="00252E95">
              <w:rPr>
                <w:rFonts w:ascii="Arial Narrow" w:hAnsi="Arial Narrow" w:cs="Arial"/>
                <w:bCs/>
                <w:sz w:val="20"/>
              </w:rPr>
              <w:t>, which are to be read and interpreted in conjunction with</w:t>
            </w:r>
            <w:r w:rsidR="006B51CE">
              <w:rPr>
                <w:rFonts w:ascii="Arial Narrow" w:hAnsi="Arial Narrow" w:cs="Arial"/>
                <w:bCs/>
                <w:sz w:val="20"/>
              </w:rPr>
              <w:t xml:space="preserve"> </w:t>
            </w:r>
            <w:r w:rsidR="00252E95" w:rsidRPr="00014B5A">
              <w:rPr>
                <w:rFonts w:ascii="Arial Narrow" w:hAnsi="Arial Narrow" w:cs="Arial"/>
                <w:bCs/>
                <w:sz w:val="20"/>
              </w:rPr>
              <w:t>the SRAS</w:t>
            </w:r>
            <w:r w:rsidR="006B51CE">
              <w:rPr>
                <w:rFonts w:ascii="Arial Narrow" w:hAnsi="Arial Narrow" w:cs="Arial"/>
                <w:bCs/>
                <w:sz w:val="20"/>
              </w:rPr>
              <w:t xml:space="preserve"> Guideline.</w:t>
            </w:r>
            <w:r w:rsidR="00252E95" w:rsidRPr="00014B5A">
              <w:rPr>
                <w:rFonts w:ascii="Arial Narrow" w:hAnsi="Arial Narrow" w:cs="Arial"/>
                <w:bCs/>
                <w:sz w:val="20"/>
              </w:rPr>
              <w:t xml:space="preserve"> </w:t>
            </w:r>
          </w:p>
        </w:tc>
      </w:tr>
      <w:tr w:rsidR="00077AA7" w:rsidRPr="00014B5A" w14:paraId="67ED9BF4" w14:textId="77777777" w:rsidTr="00B66DFD">
        <w:tc>
          <w:tcPr>
            <w:tcW w:w="2835" w:type="dxa"/>
            <w:shd w:val="clear" w:color="auto" w:fill="F2F2F2" w:themeFill="background1" w:themeFillShade="F2"/>
          </w:tcPr>
          <w:p w14:paraId="62C5A7C8" w14:textId="47760092" w:rsidR="00077AA7" w:rsidRPr="00014B5A" w:rsidRDefault="00077AA7" w:rsidP="00314503">
            <w:pPr>
              <w:rPr>
                <w:rFonts w:ascii="Arial Narrow" w:hAnsi="Arial Narrow"/>
                <w:b/>
                <w:sz w:val="20"/>
              </w:rPr>
            </w:pPr>
            <w:r>
              <w:rPr>
                <w:rFonts w:ascii="Arial Narrow" w:hAnsi="Arial Narrow"/>
                <w:b/>
                <w:sz w:val="20"/>
              </w:rPr>
              <w:t>ITT Process</w:t>
            </w:r>
          </w:p>
        </w:tc>
        <w:tc>
          <w:tcPr>
            <w:tcW w:w="5776" w:type="dxa"/>
          </w:tcPr>
          <w:p w14:paraId="53C28177" w14:textId="030107F9" w:rsidR="00077AA7" w:rsidRPr="00014B5A" w:rsidRDefault="00077AA7" w:rsidP="00314503">
            <w:pPr>
              <w:rPr>
                <w:rFonts w:ascii="Arial Narrow" w:hAnsi="Arial Narrow"/>
                <w:sz w:val="20"/>
              </w:rPr>
            </w:pPr>
            <w:r w:rsidRPr="00077AA7">
              <w:rPr>
                <w:rFonts w:ascii="Arial Narrow" w:hAnsi="Arial Narrow"/>
                <w:sz w:val="20"/>
              </w:rPr>
              <w:t>The process commencing on the issuing of this ITT and concluding when AEMO has notified each Tenderer that the process has concluded.</w:t>
            </w:r>
          </w:p>
        </w:tc>
      </w:tr>
      <w:tr w:rsidR="00077AA7" w:rsidRPr="00014B5A" w14:paraId="0AA4C9C3" w14:textId="77777777" w:rsidTr="00B66DFD">
        <w:tc>
          <w:tcPr>
            <w:tcW w:w="2835" w:type="dxa"/>
            <w:shd w:val="clear" w:color="auto" w:fill="F2F2F2" w:themeFill="background1" w:themeFillShade="F2"/>
          </w:tcPr>
          <w:p w14:paraId="5DD66F97" w14:textId="792B6D71" w:rsidR="00077AA7" w:rsidRPr="00014B5A" w:rsidRDefault="00077AA7" w:rsidP="00314503">
            <w:pPr>
              <w:rPr>
                <w:rFonts w:ascii="Arial Narrow" w:hAnsi="Arial Narrow"/>
                <w:b/>
                <w:sz w:val="20"/>
              </w:rPr>
            </w:pPr>
            <w:r>
              <w:rPr>
                <w:rFonts w:ascii="Arial Narrow" w:hAnsi="Arial Narrow"/>
                <w:b/>
                <w:sz w:val="20"/>
              </w:rPr>
              <w:t>ITT Rules</w:t>
            </w:r>
          </w:p>
        </w:tc>
        <w:tc>
          <w:tcPr>
            <w:tcW w:w="5776" w:type="dxa"/>
          </w:tcPr>
          <w:p w14:paraId="0683D591" w14:textId="3473D9B3" w:rsidR="00077AA7" w:rsidRPr="00014B5A" w:rsidRDefault="00172AFA" w:rsidP="00314503">
            <w:pPr>
              <w:rPr>
                <w:rFonts w:ascii="Arial Narrow" w:hAnsi="Arial Narrow"/>
                <w:sz w:val="20"/>
              </w:rPr>
            </w:pPr>
            <w:r>
              <w:rPr>
                <w:rFonts w:ascii="Arial Narrow" w:hAnsi="Arial Narrow"/>
                <w:sz w:val="20"/>
              </w:rPr>
              <w:t>T</w:t>
            </w:r>
            <w:r w:rsidRPr="00172AFA">
              <w:rPr>
                <w:rFonts w:ascii="Arial Narrow" w:hAnsi="Arial Narrow"/>
                <w:sz w:val="20"/>
              </w:rPr>
              <w:t>he rules contained in Section B (ITT Rules)</w:t>
            </w:r>
            <w:r>
              <w:rPr>
                <w:rFonts w:ascii="Arial Narrow" w:hAnsi="Arial Narrow"/>
                <w:sz w:val="20"/>
              </w:rPr>
              <w:t xml:space="preserve"> of this ITT.</w:t>
            </w:r>
          </w:p>
        </w:tc>
      </w:tr>
      <w:tr w:rsidR="004338AF" w:rsidRPr="00014B5A" w14:paraId="44E6BB1F" w14:textId="77777777" w:rsidTr="00172AFA">
        <w:tc>
          <w:tcPr>
            <w:tcW w:w="2835" w:type="dxa"/>
            <w:shd w:val="clear" w:color="auto" w:fill="F2F2F2" w:themeFill="background1" w:themeFillShade="F2"/>
          </w:tcPr>
          <w:p w14:paraId="70CAAB60" w14:textId="77777777" w:rsidR="004338AF" w:rsidRPr="00014B5A" w:rsidRDefault="004338AF" w:rsidP="00314503">
            <w:pPr>
              <w:rPr>
                <w:rFonts w:ascii="Arial Narrow" w:hAnsi="Arial Narrow"/>
                <w:b/>
                <w:sz w:val="20"/>
              </w:rPr>
            </w:pPr>
            <w:r w:rsidRPr="00014B5A">
              <w:rPr>
                <w:rFonts w:ascii="Arial Narrow" w:hAnsi="Arial Narrow"/>
                <w:b/>
                <w:sz w:val="20"/>
              </w:rPr>
              <w:t>NEM</w:t>
            </w:r>
          </w:p>
        </w:tc>
        <w:tc>
          <w:tcPr>
            <w:tcW w:w="5776" w:type="dxa"/>
          </w:tcPr>
          <w:p w14:paraId="2A1D6635" w14:textId="77777777" w:rsidR="004338AF" w:rsidRPr="00014B5A" w:rsidRDefault="004338AF" w:rsidP="00314503">
            <w:pPr>
              <w:rPr>
                <w:rFonts w:ascii="Arial Narrow" w:hAnsi="Arial Narrow"/>
                <w:sz w:val="20"/>
              </w:rPr>
            </w:pPr>
            <w:r w:rsidRPr="00014B5A">
              <w:rPr>
                <w:rFonts w:ascii="Arial Narrow" w:hAnsi="Arial Narrow"/>
                <w:sz w:val="20"/>
              </w:rPr>
              <w:t>National Electricity Market.</w:t>
            </w:r>
          </w:p>
        </w:tc>
      </w:tr>
      <w:tr w:rsidR="004338AF" w:rsidRPr="00014B5A" w14:paraId="6FD4E7F6" w14:textId="77777777" w:rsidTr="00172AFA">
        <w:tc>
          <w:tcPr>
            <w:tcW w:w="2835" w:type="dxa"/>
            <w:shd w:val="clear" w:color="auto" w:fill="F2F2F2" w:themeFill="background1" w:themeFillShade="F2"/>
          </w:tcPr>
          <w:p w14:paraId="62A5731F" w14:textId="77777777" w:rsidR="004338AF" w:rsidRPr="00014B5A" w:rsidRDefault="004338AF" w:rsidP="00314503">
            <w:pPr>
              <w:keepNext/>
              <w:rPr>
                <w:rFonts w:ascii="Arial Narrow" w:hAnsi="Arial Narrow" w:cs="Arial"/>
                <w:b/>
                <w:sz w:val="20"/>
              </w:rPr>
            </w:pPr>
            <w:r>
              <w:rPr>
                <w:rFonts w:ascii="Arial Narrow" w:hAnsi="Arial Narrow" w:cs="Arial"/>
                <w:b/>
                <w:sz w:val="20"/>
              </w:rPr>
              <w:t>NER</w:t>
            </w:r>
          </w:p>
        </w:tc>
        <w:tc>
          <w:tcPr>
            <w:tcW w:w="5776" w:type="dxa"/>
          </w:tcPr>
          <w:p w14:paraId="003E4475" w14:textId="77777777" w:rsidR="004338AF" w:rsidRPr="00344516" w:rsidRDefault="004338AF" w:rsidP="00314503">
            <w:pPr>
              <w:spacing w:before="60"/>
              <w:rPr>
                <w:rFonts w:ascii="Arial Narrow" w:hAnsi="Arial Narrow" w:cs="Arial"/>
                <w:sz w:val="20"/>
              </w:rPr>
            </w:pPr>
            <w:r>
              <w:rPr>
                <w:rFonts w:ascii="Arial Narrow" w:hAnsi="Arial Narrow" w:cs="Arial"/>
                <w:sz w:val="20"/>
              </w:rPr>
              <w:t>National Electricity Rules.</w:t>
            </w:r>
          </w:p>
        </w:tc>
      </w:tr>
      <w:tr w:rsidR="00BE7A15" w:rsidRPr="00014B5A" w:rsidDel="006B51CE" w14:paraId="64ED7BF0" w14:textId="77777777" w:rsidTr="00172AFA">
        <w:tc>
          <w:tcPr>
            <w:tcW w:w="2835" w:type="dxa"/>
            <w:shd w:val="clear" w:color="auto" w:fill="F2F2F2" w:themeFill="background1" w:themeFillShade="F2"/>
          </w:tcPr>
          <w:p w14:paraId="347592CF" w14:textId="77777777" w:rsidR="00BE7A15" w:rsidDel="006B51CE" w:rsidRDefault="00BE7A15" w:rsidP="00BE7A15">
            <w:pPr>
              <w:rPr>
                <w:rFonts w:ascii="Arial Narrow" w:hAnsi="Arial Narrow" w:cs="Arial"/>
                <w:b/>
                <w:sz w:val="20"/>
              </w:rPr>
            </w:pPr>
            <w:r>
              <w:rPr>
                <w:rFonts w:ascii="Arial Narrow" w:hAnsi="Arial Narrow" w:cs="Arial"/>
                <w:b/>
                <w:sz w:val="20"/>
              </w:rPr>
              <w:t>Network Delivery Components</w:t>
            </w:r>
          </w:p>
        </w:tc>
        <w:tc>
          <w:tcPr>
            <w:tcW w:w="5776" w:type="dxa"/>
          </w:tcPr>
          <w:p w14:paraId="1D8DD33D" w14:textId="33685D3C" w:rsidR="00BE7A15" w:rsidRPr="00014B5A" w:rsidDel="006B51CE" w:rsidRDefault="00BE7A15" w:rsidP="00BE7A15">
            <w:pPr>
              <w:jc w:val="both"/>
              <w:rPr>
                <w:rFonts w:ascii="Arial Narrow" w:hAnsi="Arial Narrow" w:cs="Arial"/>
                <w:sz w:val="20"/>
              </w:rPr>
            </w:pPr>
            <w:r>
              <w:rPr>
                <w:rFonts w:ascii="Arial Narrow" w:hAnsi="Arial Narrow" w:cs="Arial"/>
                <w:i/>
                <w:sz w:val="20"/>
              </w:rPr>
              <w:t>Transmission system</w:t>
            </w:r>
            <w:r w:rsidRPr="00014B5A">
              <w:rPr>
                <w:rFonts w:ascii="Arial Narrow" w:hAnsi="Arial Narrow" w:cs="Arial"/>
                <w:sz w:val="20"/>
              </w:rPr>
              <w:t xml:space="preserve"> </w:t>
            </w:r>
            <w:r>
              <w:rPr>
                <w:rFonts w:ascii="Arial Narrow" w:hAnsi="Arial Narrow" w:cs="Arial"/>
                <w:sz w:val="20"/>
              </w:rPr>
              <w:t xml:space="preserve">or </w:t>
            </w:r>
            <w:r>
              <w:rPr>
                <w:rFonts w:ascii="Arial Narrow" w:hAnsi="Arial Narrow" w:cs="Arial"/>
                <w:i/>
                <w:sz w:val="20"/>
              </w:rPr>
              <w:t xml:space="preserve">distribution system </w:t>
            </w:r>
            <w:r w:rsidRPr="00014B5A">
              <w:rPr>
                <w:rFonts w:ascii="Arial Narrow" w:hAnsi="Arial Narrow" w:cs="Arial"/>
                <w:i/>
                <w:sz w:val="20"/>
              </w:rPr>
              <w:t>facilities</w:t>
            </w:r>
            <w:r>
              <w:rPr>
                <w:rFonts w:ascii="Arial Narrow" w:hAnsi="Arial Narrow" w:cs="Arial"/>
                <w:i/>
                <w:sz w:val="20"/>
              </w:rPr>
              <w:t xml:space="preserve"> </w:t>
            </w:r>
            <w:r>
              <w:rPr>
                <w:rFonts w:ascii="Arial Narrow" w:hAnsi="Arial Narrow" w:cs="Arial"/>
                <w:sz w:val="20"/>
              </w:rPr>
              <w:t xml:space="preserve">and equipment located between (and including) the final </w:t>
            </w:r>
            <w:r>
              <w:rPr>
                <w:rFonts w:ascii="Arial Narrow" w:hAnsi="Arial Narrow" w:cs="Arial"/>
                <w:i/>
                <w:sz w:val="20"/>
              </w:rPr>
              <w:t xml:space="preserve">network connection point </w:t>
            </w:r>
            <w:r>
              <w:rPr>
                <w:rFonts w:ascii="Arial Narrow" w:hAnsi="Arial Narrow" w:cs="Arial"/>
                <w:sz w:val="20"/>
              </w:rPr>
              <w:t>associated with the SRAS Equipment</w:t>
            </w:r>
            <w:r w:rsidR="00423C5E">
              <w:rPr>
                <w:rFonts w:ascii="Arial Narrow" w:hAnsi="Arial Narrow" w:cs="Arial"/>
                <w:sz w:val="20"/>
              </w:rPr>
              <w:t>,</w:t>
            </w:r>
            <w:r>
              <w:rPr>
                <w:rFonts w:ascii="Arial Narrow" w:hAnsi="Arial Narrow" w:cs="Arial"/>
                <w:sz w:val="20"/>
              </w:rPr>
              <w:t xml:space="preserve"> and the proposed Delivery Point, as </w:t>
            </w:r>
            <w:r w:rsidRPr="00014B5A">
              <w:rPr>
                <w:rFonts w:ascii="Arial Narrow" w:hAnsi="Arial Narrow" w:cs="Arial"/>
                <w:sz w:val="20"/>
              </w:rPr>
              <w:t xml:space="preserve">nominated in Schedule 2 of the </w:t>
            </w:r>
            <w:r w:rsidRPr="0064064B">
              <w:rPr>
                <w:rFonts w:ascii="Arial Narrow" w:hAnsi="Arial Narrow" w:cs="Arial"/>
                <w:sz w:val="20"/>
              </w:rPr>
              <w:t>Tender</w:t>
            </w:r>
            <w:r w:rsidRPr="00014B5A">
              <w:rPr>
                <w:rFonts w:ascii="Arial Narrow" w:hAnsi="Arial Narrow" w:cs="Arial"/>
                <w:sz w:val="20"/>
              </w:rPr>
              <w:t xml:space="preserve"> Form</w:t>
            </w:r>
            <w:r>
              <w:rPr>
                <w:rFonts w:ascii="Arial Narrow" w:hAnsi="Arial Narrow" w:cs="Arial"/>
                <w:sz w:val="20"/>
              </w:rPr>
              <w:t>.</w:t>
            </w:r>
          </w:p>
        </w:tc>
      </w:tr>
      <w:tr w:rsidR="004338AF" w:rsidRPr="00014B5A" w14:paraId="11F844DA" w14:textId="77777777" w:rsidTr="00172AFA">
        <w:tc>
          <w:tcPr>
            <w:tcW w:w="2835" w:type="dxa"/>
            <w:shd w:val="clear" w:color="auto" w:fill="F2F2F2" w:themeFill="background1" w:themeFillShade="F2"/>
          </w:tcPr>
          <w:p w14:paraId="55D3AFB2" w14:textId="77777777" w:rsidR="004338AF" w:rsidRPr="00014B5A" w:rsidRDefault="004338AF" w:rsidP="00314503">
            <w:pPr>
              <w:keepNext/>
              <w:rPr>
                <w:rFonts w:ascii="Arial Narrow" w:hAnsi="Arial Narrow" w:cs="Arial"/>
                <w:b/>
                <w:sz w:val="20"/>
              </w:rPr>
            </w:pPr>
            <w:r w:rsidRPr="00014B5A">
              <w:rPr>
                <w:rFonts w:ascii="Arial Narrow" w:hAnsi="Arial Narrow" w:cs="Arial"/>
                <w:b/>
                <w:sz w:val="20"/>
              </w:rPr>
              <w:lastRenderedPageBreak/>
              <w:t>NSP</w:t>
            </w:r>
          </w:p>
        </w:tc>
        <w:tc>
          <w:tcPr>
            <w:tcW w:w="5776" w:type="dxa"/>
          </w:tcPr>
          <w:p w14:paraId="3508141C" w14:textId="77777777" w:rsidR="004338AF" w:rsidRPr="00014B5A" w:rsidRDefault="004338AF" w:rsidP="00314503">
            <w:pPr>
              <w:spacing w:before="60"/>
              <w:rPr>
                <w:rFonts w:ascii="Arial Narrow" w:hAnsi="Arial Narrow" w:cs="Arial"/>
                <w:sz w:val="20"/>
              </w:rPr>
            </w:pPr>
            <w:r w:rsidRPr="00014B5A">
              <w:rPr>
                <w:rFonts w:ascii="Arial Narrow" w:hAnsi="Arial Narrow" w:cs="Arial"/>
                <w:i/>
                <w:sz w:val="20"/>
              </w:rPr>
              <w:t>Network Service Provider</w:t>
            </w:r>
            <w:r w:rsidRPr="00014B5A">
              <w:rPr>
                <w:rFonts w:ascii="Arial Narrow" w:hAnsi="Arial Narrow" w:cs="Arial"/>
                <w:sz w:val="20"/>
              </w:rPr>
              <w:t>.</w:t>
            </w:r>
          </w:p>
        </w:tc>
      </w:tr>
      <w:tr w:rsidR="00D216DE" w:rsidRPr="00014B5A" w14:paraId="0DC3444B" w14:textId="77777777" w:rsidTr="00172AFA">
        <w:tc>
          <w:tcPr>
            <w:tcW w:w="2835" w:type="dxa"/>
            <w:shd w:val="clear" w:color="auto" w:fill="F2F2F2" w:themeFill="background1" w:themeFillShade="F2"/>
          </w:tcPr>
          <w:p w14:paraId="657AA3AC" w14:textId="4F1FEA91" w:rsidR="00D216DE" w:rsidRPr="00014B5A" w:rsidRDefault="00D216DE" w:rsidP="00314503">
            <w:pPr>
              <w:keepNext/>
              <w:rPr>
                <w:rFonts w:ascii="Arial Narrow" w:hAnsi="Arial Narrow" w:cs="Arial"/>
                <w:b/>
                <w:sz w:val="20"/>
              </w:rPr>
            </w:pPr>
            <w:r>
              <w:rPr>
                <w:rFonts w:ascii="Arial Narrow" w:hAnsi="Arial Narrow" w:cs="Arial"/>
                <w:b/>
                <w:sz w:val="20"/>
              </w:rPr>
              <w:t xml:space="preserve">Major Components </w:t>
            </w:r>
          </w:p>
        </w:tc>
        <w:tc>
          <w:tcPr>
            <w:tcW w:w="5776" w:type="dxa"/>
          </w:tcPr>
          <w:p w14:paraId="56600BEA" w14:textId="53D9841A" w:rsidR="00C83A01" w:rsidRDefault="00C83A01" w:rsidP="00314503">
            <w:pPr>
              <w:spacing w:before="60"/>
              <w:rPr>
                <w:rFonts w:ascii="Arial Narrow" w:hAnsi="Arial Narrow" w:cs="Arial"/>
                <w:iCs/>
                <w:sz w:val="20"/>
              </w:rPr>
            </w:pPr>
            <w:r w:rsidRPr="00C83A01">
              <w:rPr>
                <w:rFonts w:ascii="Arial Narrow" w:hAnsi="Arial Narrow" w:cs="Arial"/>
                <w:iCs/>
                <w:sz w:val="20"/>
              </w:rPr>
              <w:t>Any connection assets operated by the NSP within between your facility and the nominated Delivery Point should be listed separately as SRAS Network Components</w:t>
            </w:r>
            <w:r>
              <w:rPr>
                <w:rFonts w:ascii="Arial Narrow" w:hAnsi="Arial Narrow" w:cs="Arial"/>
                <w:iCs/>
                <w:sz w:val="20"/>
              </w:rPr>
              <w:t>.</w:t>
            </w:r>
          </w:p>
          <w:p w14:paraId="2CE5FA62" w14:textId="7D9E85AC" w:rsidR="00D216DE" w:rsidRPr="00E42C05" w:rsidRDefault="00F00953" w:rsidP="00314503">
            <w:pPr>
              <w:spacing w:before="60"/>
              <w:rPr>
                <w:rFonts w:ascii="Arial Narrow" w:hAnsi="Arial Narrow" w:cs="Arial"/>
                <w:iCs/>
                <w:sz w:val="20"/>
              </w:rPr>
            </w:pPr>
            <w:r>
              <w:rPr>
                <w:rFonts w:ascii="Arial Narrow" w:hAnsi="Arial Narrow" w:cs="Arial"/>
                <w:iCs/>
                <w:sz w:val="20"/>
              </w:rPr>
              <w:t>M</w:t>
            </w:r>
            <w:r w:rsidRPr="00F00953">
              <w:rPr>
                <w:rFonts w:ascii="Arial Narrow" w:hAnsi="Arial Narrow" w:cs="Arial"/>
                <w:iCs/>
                <w:sz w:val="20"/>
              </w:rPr>
              <w:t>ajor components can include equipment that is needed</w:t>
            </w:r>
            <w:r w:rsidR="00C83A01">
              <w:rPr>
                <w:rFonts w:ascii="Arial Narrow" w:hAnsi="Arial Narrow" w:cs="Arial"/>
                <w:iCs/>
                <w:sz w:val="20"/>
              </w:rPr>
              <w:t xml:space="preserve"> </w:t>
            </w:r>
            <w:r w:rsidRPr="00F00953">
              <w:rPr>
                <w:rFonts w:ascii="Arial Narrow" w:hAnsi="Arial Narrow" w:cs="Arial"/>
                <w:iCs/>
                <w:sz w:val="20"/>
              </w:rPr>
              <w:t>or important</w:t>
            </w:r>
            <w:r w:rsidR="00C83A01">
              <w:rPr>
                <w:rFonts w:ascii="Arial Narrow" w:hAnsi="Arial Narrow" w:cs="Arial"/>
                <w:iCs/>
                <w:sz w:val="20"/>
              </w:rPr>
              <w:t xml:space="preserve"> </w:t>
            </w:r>
            <w:r w:rsidRPr="00F00953">
              <w:rPr>
                <w:rFonts w:ascii="Arial Narrow" w:hAnsi="Arial Narrow" w:cs="Arial"/>
                <w:iCs/>
                <w:sz w:val="20"/>
              </w:rPr>
              <w:t>to provide the technical capabilities as specified in Section 3.3 of the SRAS Guideline</w:t>
            </w:r>
            <w:r w:rsidR="00B223B3">
              <w:rPr>
                <w:rFonts w:ascii="Arial Narrow" w:hAnsi="Arial Narrow" w:cs="Arial"/>
                <w:iCs/>
                <w:sz w:val="20"/>
              </w:rPr>
              <w:t>. This should</w:t>
            </w:r>
            <w:r w:rsidR="007206BA">
              <w:rPr>
                <w:rFonts w:ascii="Arial Narrow" w:hAnsi="Arial Narrow" w:cs="Arial"/>
                <w:iCs/>
                <w:sz w:val="20"/>
              </w:rPr>
              <w:t xml:space="preserve"> </w:t>
            </w:r>
            <w:r w:rsidR="00B223B3">
              <w:rPr>
                <w:rFonts w:ascii="Arial Narrow" w:hAnsi="Arial Narrow" w:cs="Arial"/>
                <w:iCs/>
                <w:sz w:val="20"/>
              </w:rPr>
              <w:t xml:space="preserve">include </w:t>
            </w:r>
            <w:r w:rsidR="007206BA">
              <w:rPr>
                <w:rFonts w:ascii="Arial Narrow" w:hAnsi="Arial Narrow" w:cs="Arial"/>
                <w:iCs/>
                <w:sz w:val="20"/>
              </w:rPr>
              <w:t xml:space="preserve">auxiliary </w:t>
            </w:r>
            <w:r w:rsidR="004C2A42">
              <w:rPr>
                <w:rFonts w:ascii="Arial Narrow" w:hAnsi="Arial Narrow" w:cs="Arial"/>
                <w:iCs/>
                <w:sz w:val="20"/>
              </w:rPr>
              <w:t>supplies/services</w:t>
            </w:r>
            <w:r w:rsidR="007206BA">
              <w:rPr>
                <w:rFonts w:ascii="Arial Narrow" w:hAnsi="Arial Narrow" w:cs="Arial"/>
                <w:iCs/>
                <w:sz w:val="20"/>
              </w:rPr>
              <w:t xml:space="preserve">, protection equipment, transformers. </w:t>
            </w:r>
          </w:p>
        </w:tc>
      </w:tr>
      <w:tr w:rsidR="00172AFA" w:rsidRPr="00014B5A" w14:paraId="662D9585" w14:textId="77777777" w:rsidTr="00172AFA">
        <w:tc>
          <w:tcPr>
            <w:tcW w:w="2835" w:type="dxa"/>
            <w:shd w:val="clear" w:color="auto" w:fill="F2F2F2" w:themeFill="background1" w:themeFillShade="F2"/>
          </w:tcPr>
          <w:p w14:paraId="08CD6E56" w14:textId="1A6582C7" w:rsidR="00172AFA" w:rsidRPr="00014B5A" w:rsidRDefault="00172AFA" w:rsidP="00172AFA">
            <w:pPr>
              <w:keepNext/>
              <w:rPr>
                <w:rFonts w:ascii="Arial Narrow" w:hAnsi="Arial Narrow" w:cs="Arial"/>
                <w:b/>
                <w:sz w:val="20"/>
              </w:rPr>
            </w:pPr>
            <w:r w:rsidRPr="00172AFA">
              <w:rPr>
                <w:rFonts w:ascii="Arial Narrow" w:hAnsi="Arial Narrow" w:cs="Arial"/>
                <w:b/>
                <w:sz w:val="20"/>
              </w:rPr>
              <w:t>Representatives</w:t>
            </w:r>
          </w:p>
        </w:tc>
        <w:tc>
          <w:tcPr>
            <w:tcW w:w="5776" w:type="dxa"/>
          </w:tcPr>
          <w:p w14:paraId="4C0E9316" w14:textId="4356D892" w:rsidR="00172AFA" w:rsidRPr="00172AFA" w:rsidRDefault="00172AFA" w:rsidP="00172AFA">
            <w:pPr>
              <w:jc w:val="both"/>
              <w:rPr>
                <w:rFonts w:ascii="Arial Narrow" w:hAnsi="Arial Narrow" w:cs="Arial"/>
                <w:sz w:val="20"/>
              </w:rPr>
            </w:pPr>
            <w:r w:rsidRPr="00172AFA">
              <w:rPr>
                <w:rFonts w:ascii="Arial Narrow" w:hAnsi="Arial Narrow"/>
                <w:sz w:val="20"/>
              </w:rPr>
              <w:t>In respect of a Tenderer includes its employees, agents, advisers, consultants, contractors and persons to whom it supplies this ITT or any other documents issued in relation to the ITT Process by AEMO.</w:t>
            </w:r>
          </w:p>
        </w:tc>
      </w:tr>
      <w:tr w:rsidR="00172AFA" w:rsidRPr="00014B5A" w14:paraId="59977572" w14:textId="77777777" w:rsidTr="00172AFA">
        <w:tc>
          <w:tcPr>
            <w:tcW w:w="2835" w:type="dxa"/>
            <w:shd w:val="clear" w:color="auto" w:fill="F2F2F2" w:themeFill="background1" w:themeFillShade="F2"/>
          </w:tcPr>
          <w:p w14:paraId="7C760807" w14:textId="1D64CD58" w:rsidR="00172AFA" w:rsidRPr="00014B5A" w:rsidRDefault="00172AFA" w:rsidP="00172AFA">
            <w:pPr>
              <w:rPr>
                <w:rFonts w:ascii="Arial Narrow" w:hAnsi="Arial Narrow" w:cs="Arial"/>
                <w:b/>
                <w:sz w:val="20"/>
              </w:rPr>
            </w:pPr>
            <w:r w:rsidRPr="00014B5A">
              <w:rPr>
                <w:rFonts w:ascii="Arial Narrow" w:hAnsi="Arial Narrow" w:cs="Arial"/>
                <w:b/>
                <w:sz w:val="20"/>
              </w:rPr>
              <w:t>Service</w:t>
            </w:r>
          </w:p>
        </w:tc>
        <w:tc>
          <w:tcPr>
            <w:tcW w:w="5776" w:type="dxa"/>
          </w:tcPr>
          <w:p w14:paraId="571EF485" w14:textId="7EC23A12" w:rsidR="00172AFA" w:rsidRPr="00014B5A" w:rsidRDefault="00172AFA" w:rsidP="00172AFA">
            <w:pPr>
              <w:jc w:val="both"/>
              <w:rPr>
                <w:rFonts w:ascii="Arial Narrow" w:hAnsi="Arial Narrow" w:cs="Arial"/>
                <w:sz w:val="20"/>
              </w:rPr>
            </w:pPr>
            <w:r w:rsidRPr="00014B5A">
              <w:rPr>
                <w:rFonts w:ascii="Arial Narrow" w:hAnsi="Arial Narrow" w:cs="Arial"/>
                <w:sz w:val="20"/>
              </w:rPr>
              <w:t xml:space="preserve">The </w:t>
            </w:r>
            <w:r>
              <w:rPr>
                <w:rFonts w:ascii="Arial Narrow" w:hAnsi="Arial Narrow" w:cs="Arial"/>
                <w:sz w:val="20"/>
              </w:rPr>
              <w:t xml:space="preserve">SRAS proposed to be provided by the Tenderer, as </w:t>
            </w:r>
            <w:r w:rsidRPr="00014B5A">
              <w:rPr>
                <w:rFonts w:ascii="Arial Narrow" w:hAnsi="Arial Narrow" w:cs="Arial"/>
                <w:sz w:val="20"/>
              </w:rPr>
              <w:t>described in Schedule 2</w:t>
            </w:r>
            <w:r w:rsidR="0088372E">
              <w:rPr>
                <w:rFonts w:ascii="Arial Narrow" w:hAnsi="Arial Narrow" w:cs="Arial"/>
                <w:sz w:val="20"/>
              </w:rPr>
              <w:t xml:space="preserve"> and or Schedule 6</w:t>
            </w:r>
            <w:r w:rsidRPr="00014B5A">
              <w:rPr>
                <w:rFonts w:ascii="Arial Narrow" w:hAnsi="Arial Narrow" w:cs="Arial"/>
                <w:sz w:val="20"/>
              </w:rPr>
              <w:t xml:space="preserve"> of the </w:t>
            </w:r>
            <w:r w:rsidRPr="0064064B">
              <w:rPr>
                <w:rFonts w:ascii="Arial Narrow" w:hAnsi="Arial Narrow" w:cs="Arial"/>
                <w:sz w:val="20"/>
              </w:rPr>
              <w:t>Tender</w:t>
            </w:r>
            <w:r w:rsidRPr="00014B5A">
              <w:rPr>
                <w:rFonts w:ascii="Arial Narrow" w:hAnsi="Arial Narrow" w:cs="Arial"/>
                <w:sz w:val="20"/>
              </w:rPr>
              <w:t xml:space="preserve"> Form.</w:t>
            </w:r>
          </w:p>
        </w:tc>
      </w:tr>
      <w:tr w:rsidR="00172AFA" w:rsidRPr="00014B5A" w14:paraId="00907187" w14:textId="77777777" w:rsidTr="00172AFA">
        <w:tc>
          <w:tcPr>
            <w:tcW w:w="2835" w:type="dxa"/>
            <w:shd w:val="clear" w:color="auto" w:fill="F2F2F2" w:themeFill="background1" w:themeFillShade="F2"/>
          </w:tcPr>
          <w:p w14:paraId="22817C2B" w14:textId="77777777" w:rsidR="00172AFA" w:rsidRPr="00014B5A" w:rsidRDefault="00172AFA" w:rsidP="00172AFA">
            <w:pPr>
              <w:rPr>
                <w:rFonts w:ascii="Arial Narrow" w:hAnsi="Arial Narrow" w:cs="Arial"/>
                <w:b/>
                <w:sz w:val="20"/>
              </w:rPr>
            </w:pPr>
            <w:r>
              <w:rPr>
                <w:rFonts w:ascii="Arial Narrow" w:hAnsi="Arial Narrow" w:cs="Arial"/>
                <w:b/>
                <w:sz w:val="20"/>
              </w:rPr>
              <w:t>SRAS</w:t>
            </w:r>
          </w:p>
        </w:tc>
        <w:tc>
          <w:tcPr>
            <w:tcW w:w="5776" w:type="dxa"/>
          </w:tcPr>
          <w:p w14:paraId="5C854AB9" w14:textId="2887C0DA" w:rsidR="00172AFA" w:rsidRPr="00D262B2" w:rsidRDefault="00172AFA" w:rsidP="00172AFA">
            <w:pPr>
              <w:jc w:val="both"/>
              <w:rPr>
                <w:rFonts w:ascii="Arial Narrow" w:hAnsi="Arial Narrow" w:cs="Arial"/>
                <w:sz w:val="20"/>
              </w:rPr>
            </w:pPr>
            <w:r>
              <w:rPr>
                <w:rFonts w:ascii="Arial Narrow" w:hAnsi="Arial Narrow" w:cs="Arial"/>
                <w:i/>
                <w:sz w:val="20"/>
              </w:rPr>
              <w:t>System restart ancillary service</w:t>
            </w:r>
            <w:r>
              <w:rPr>
                <w:rFonts w:ascii="Arial Narrow" w:hAnsi="Arial Narrow" w:cs="Arial"/>
                <w:sz w:val="20"/>
              </w:rPr>
              <w:t xml:space="preserve">, this could be either a black start service or restoration support service. </w:t>
            </w:r>
          </w:p>
        </w:tc>
      </w:tr>
      <w:tr w:rsidR="00172AFA" w:rsidRPr="00014B5A" w:rsidDel="006B51CE" w14:paraId="225236C5" w14:textId="77777777" w:rsidTr="00172AFA">
        <w:tc>
          <w:tcPr>
            <w:tcW w:w="2835" w:type="dxa"/>
            <w:shd w:val="clear" w:color="auto" w:fill="F2F2F2" w:themeFill="background1" w:themeFillShade="F2"/>
          </w:tcPr>
          <w:p w14:paraId="4060051C" w14:textId="77777777" w:rsidR="00172AFA" w:rsidRPr="00014B5A" w:rsidDel="006B51CE" w:rsidRDefault="00172AFA" w:rsidP="00172AFA">
            <w:pPr>
              <w:rPr>
                <w:rFonts w:ascii="Arial Narrow" w:hAnsi="Arial Narrow" w:cs="Arial"/>
                <w:b/>
                <w:sz w:val="20"/>
              </w:rPr>
            </w:pPr>
            <w:r>
              <w:rPr>
                <w:rFonts w:ascii="Arial Narrow" w:hAnsi="Arial Narrow" w:cs="Arial"/>
                <w:b/>
                <w:sz w:val="20"/>
              </w:rPr>
              <w:t>SRAS Agreement</w:t>
            </w:r>
          </w:p>
        </w:tc>
        <w:tc>
          <w:tcPr>
            <w:tcW w:w="5776" w:type="dxa"/>
          </w:tcPr>
          <w:p w14:paraId="3EB0DE70" w14:textId="6F5D9BE9" w:rsidR="00172AFA" w:rsidRPr="00014B5A" w:rsidDel="006B51CE" w:rsidRDefault="00172AFA" w:rsidP="00172AFA">
            <w:pPr>
              <w:jc w:val="both"/>
              <w:rPr>
                <w:rFonts w:ascii="Arial Narrow" w:hAnsi="Arial Narrow" w:cs="Arial"/>
                <w:sz w:val="20"/>
              </w:rPr>
            </w:pPr>
            <w:r>
              <w:rPr>
                <w:rFonts w:ascii="Arial Narrow" w:hAnsi="Arial Narrow" w:cs="Arial"/>
                <w:sz w:val="20"/>
              </w:rPr>
              <w:t xml:space="preserve">The agreement to be entered into by a successful Tenderer for the provision of the Service to AEMO. A proposed form of SRAS Agreement is attached this ITT. </w:t>
            </w:r>
          </w:p>
        </w:tc>
      </w:tr>
      <w:tr w:rsidR="00172AFA" w:rsidRPr="00014B5A" w14:paraId="2AEC9A13" w14:textId="77777777" w:rsidTr="00172AFA">
        <w:tc>
          <w:tcPr>
            <w:tcW w:w="2835" w:type="dxa"/>
            <w:shd w:val="clear" w:color="auto" w:fill="F2F2F2" w:themeFill="background1" w:themeFillShade="F2"/>
          </w:tcPr>
          <w:p w14:paraId="740EB2B4" w14:textId="77777777" w:rsidR="00172AFA" w:rsidRPr="00014B5A" w:rsidRDefault="00172AFA" w:rsidP="00172AFA">
            <w:pPr>
              <w:rPr>
                <w:rFonts w:ascii="Arial Narrow" w:hAnsi="Arial Narrow" w:cs="Arial"/>
                <w:b/>
                <w:sz w:val="20"/>
              </w:rPr>
            </w:pPr>
            <w:r w:rsidRPr="00014B5A">
              <w:rPr>
                <w:rFonts w:ascii="Arial Narrow" w:hAnsi="Arial Narrow" w:cs="Arial"/>
                <w:b/>
                <w:sz w:val="20"/>
              </w:rPr>
              <w:t>SRAS Equipment</w:t>
            </w:r>
          </w:p>
        </w:tc>
        <w:tc>
          <w:tcPr>
            <w:tcW w:w="5776" w:type="dxa"/>
          </w:tcPr>
          <w:p w14:paraId="72EA8B3D" w14:textId="23DEA2A5" w:rsidR="00172AFA" w:rsidRPr="00014B5A" w:rsidRDefault="00172AFA" w:rsidP="00172AFA">
            <w:pPr>
              <w:jc w:val="both"/>
              <w:rPr>
                <w:rFonts w:ascii="Arial Narrow" w:hAnsi="Arial Narrow" w:cs="Arial"/>
                <w:sz w:val="20"/>
              </w:rPr>
            </w:pPr>
            <w:r w:rsidRPr="00014B5A">
              <w:rPr>
                <w:rFonts w:ascii="Arial Narrow" w:hAnsi="Arial Narrow" w:cs="Arial"/>
                <w:sz w:val="20"/>
              </w:rPr>
              <w:t>The</w:t>
            </w:r>
            <w:r>
              <w:rPr>
                <w:rFonts w:ascii="Arial Narrow" w:hAnsi="Arial Narrow" w:cs="Arial"/>
                <w:sz w:val="20"/>
              </w:rPr>
              <w:t xml:space="preserve"> </w:t>
            </w:r>
            <w:r w:rsidRPr="00EC48AC">
              <w:rPr>
                <w:rFonts w:ascii="Arial Narrow" w:hAnsi="Arial Narrow" w:cs="Arial"/>
                <w:i/>
                <w:sz w:val="20"/>
              </w:rPr>
              <w:t>generating unit(s)</w:t>
            </w:r>
            <w:r>
              <w:rPr>
                <w:rFonts w:ascii="Arial Narrow" w:hAnsi="Arial Narrow" w:cs="Arial"/>
                <w:sz w:val="20"/>
              </w:rPr>
              <w:t xml:space="preserve"> and/or other</w:t>
            </w:r>
            <w:r w:rsidRPr="00014B5A">
              <w:rPr>
                <w:rFonts w:ascii="Arial Narrow" w:hAnsi="Arial Narrow" w:cs="Arial"/>
                <w:sz w:val="20"/>
              </w:rPr>
              <w:t xml:space="preserve"> </w:t>
            </w:r>
            <w:r w:rsidRPr="00014B5A">
              <w:rPr>
                <w:rFonts w:ascii="Arial Narrow" w:hAnsi="Arial Narrow" w:cs="Arial"/>
                <w:i/>
                <w:sz w:val="20"/>
              </w:rPr>
              <w:t>facilities</w:t>
            </w:r>
            <w:r w:rsidRPr="00014B5A">
              <w:rPr>
                <w:rFonts w:ascii="Arial Narrow" w:hAnsi="Arial Narrow" w:cs="Arial"/>
                <w:sz w:val="20"/>
              </w:rPr>
              <w:t xml:space="preserve"> </w:t>
            </w:r>
            <w:r>
              <w:rPr>
                <w:rFonts w:ascii="Arial Narrow" w:hAnsi="Arial Narrow" w:cs="Arial"/>
                <w:sz w:val="20"/>
              </w:rPr>
              <w:t xml:space="preserve">(excluding Network Delivery Components, but including any SRAS Third Party Assets) to be used by the Tenderer for the delivery of the Service, as </w:t>
            </w:r>
            <w:r w:rsidRPr="00014B5A">
              <w:rPr>
                <w:rFonts w:ascii="Arial Narrow" w:hAnsi="Arial Narrow" w:cs="Arial"/>
                <w:sz w:val="20"/>
              </w:rPr>
              <w:t xml:space="preserve">nominated in Schedule 2 of the </w:t>
            </w:r>
            <w:r w:rsidRPr="0064064B">
              <w:rPr>
                <w:rFonts w:ascii="Arial Narrow" w:hAnsi="Arial Narrow" w:cs="Arial"/>
                <w:sz w:val="20"/>
              </w:rPr>
              <w:t>Tender</w:t>
            </w:r>
            <w:r w:rsidRPr="00014B5A">
              <w:rPr>
                <w:rFonts w:ascii="Arial Narrow" w:hAnsi="Arial Narrow" w:cs="Arial"/>
                <w:sz w:val="20"/>
              </w:rPr>
              <w:t xml:space="preserve"> Form</w:t>
            </w:r>
            <w:r>
              <w:rPr>
                <w:rFonts w:ascii="Arial Narrow" w:hAnsi="Arial Narrow" w:cs="Arial"/>
                <w:sz w:val="20"/>
              </w:rPr>
              <w:t>.</w:t>
            </w:r>
          </w:p>
        </w:tc>
      </w:tr>
      <w:tr w:rsidR="00172AFA" w:rsidRPr="00014B5A" w14:paraId="6363A52A" w14:textId="77777777" w:rsidTr="00172AFA">
        <w:tc>
          <w:tcPr>
            <w:tcW w:w="2835" w:type="dxa"/>
            <w:shd w:val="clear" w:color="auto" w:fill="F2F2F2" w:themeFill="background1" w:themeFillShade="F2"/>
          </w:tcPr>
          <w:p w14:paraId="51DF8891" w14:textId="3D9127CE" w:rsidR="00172AFA" w:rsidRPr="00014B5A" w:rsidRDefault="00172AFA" w:rsidP="00172AFA">
            <w:pPr>
              <w:rPr>
                <w:rFonts w:ascii="Arial Narrow" w:hAnsi="Arial Narrow" w:cs="Arial"/>
                <w:b/>
                <w:sz w:val="20"/>
              </w:rPr>
            </w:pPr>
            <w:r w:rsidRPr="00014B5A">
              <w:rPr>
                <w:rFonts w:ascii="Arial Narrow" w:hAnsi="Arial Narrow" w:cs="Arial"/>
                <w:b/>
                <w:sz w:val="20"/>
              </w:rPr>
              <w:t>SRAS Guideline</w:t>
            </w:r>
          </w:p>
        </w:tc>
        <w:tc>
          <w:tcPr>
            <w:tcW w:w="5776" w:type="dxa"/>
          </w:tcPr>
          <w:p w14:paraId="07870F53" w14:textId="6F345B33" w:rsidR="00172AFA" w:rsidRPr="00242FA7" w:rsidRDefault="00172AFA" w:rsidP="00172AFA">
            <w:pPr>
              <w:jc w:val="both"/>
              <w:rPr>
                <w:rFonts w:ascii="Arial Narrow" w:hAnsi="Arial Narrow" w:cs="Arial"/>
                <w:sz w:val="20"/>
                <w:highlight w:val="yellow"/>
              </w:rPr>
            </w:pPr>
            <w:r w:rsidRPr="7FD66065">
              <w:rPr>
                <w:rFonts w:ascii="Arial Narrow" w:hAnsi="Arial Narrow" w:cs="Arial"/>
                <w:sz w:val="20"/>
              </w:rPr>
              <w:t xml:space="preserve">The </w:t>
            </w:r>
            <w:r w:rsidRPr="7FD66065">
              <w:rPr>
                <w:rFonts w:ascii="Arial Narrow" w:hAnsi="Arial Narrow" w:cs="Arial"/>
                <w:i/>
                <w:iCs/>
                <w:sz w:val="20"/>
              </w:rPr>
              <w:t>SRAS Guideline</w:t>
            </w:r>
            <w:r w:rsidRPr="7FD66065">
              <w:rPr>
                <w:rFonts w:ascii="Arial Narrow" w:hAnsi="Arial Narrow" w:cs="Arial"/>
                <w:sz w:val="20"/>
              </w:rPr>
              <w:t xml:space="preserve"> </w:t>
            </w:r>
            <w:r w:rsidRPr="7FD66065">
              <w:rPr>
                <w:rFonts w:ascii="Arial Narrow" w:hAnsi="Arial Narrow" w:cs="Arial"/>
                <w:i/>
                <w:iCs/>
                <w:sz w:val="20"/>
              </w:rPr>
              <w:t>published</w:t>
            </w:r>
            <w:r w:rsidRPr="7FD66065">
              <w:rPr>
                <w:rFonts w:ascii="Arial Narrow" w:hAnsi="Arial Narrow" w:cs="Arial"/>
                <w:sz w:val="20"/>
              </w:rPr>
              <w:t xml:space="preserve"> by AEMO under clause 3.11.7 of the NER. The current version was effective</w:t>
            </w:r>
            <w:r w:rsidRPr="7FD66065">
              <w:rPr>
                <w:rFonts w:ascii="Arial Narrow" w:hAnsi="Arial Narrow" w:cs="Arial"/>
                <w:i/>
                <w:iCs/>
                <w:sz w:val="20"/>
              </w:rPr>
              <w:t xml:space="preserve"> </w:t>
            </w:r>
            <w:r w:rsidRPr="7FD66065">
              <w:rPr>
                <w:rFonts w:ascii="Arial Narrow" w:hAnsi="Arial Narrow" w:cs="Arial"/>
                <w:sz w:val="20"/>
              </w:rPr>
              <w:t xml:space="preserve">on 8 February 2021. </w:t>
            </w:r>
          </w:p>
        </w:tc>
      </w:tr>
      <w:tr w:rsidR="00172AFA" w:rsidRPr="00014B5A" w:rsidDel="006B51CE" w14:paraId="4754BC15" w14:textId="77777777" w:rsidTr="00172AFA">
        <w:tc>
          <w:tcPr>
            <w:tcW w:w="2835" w:type="dxa"/>
            <w:shd w:val="clear" w:color="auto" w:fill="F2F2F2" w:themeFill="background1" w:themeFillShade="F2"/>
          </w:tcPr>
          <w:p w14:paraId="00C41713" w14:textId="77777777" w:rsidR="00172AFA" w:rsidDel="006B51CE" w:rsidRDefault="00172AFA" w:rsidP="00172AFA">
            <w:pPr>
              <w:rPr>
                <w:rFonts w:ascii="Arial Narrow" w:hAnsi="Arial Narrow" w:cs="Arial"/>
                <w:b/>
                <w:sz w:val="20"/>
              </w:rPr>
            </w:pPr>
            <w:r>
              <w:rPr>
                <w:rFonts w:ascii="Arial Narrow" w:hAnsi="Arial Narrow" w:cs="Arial"/>
                <w:b/>
                <w:sz w:val="20"/>
              </w:rPr>
              <w:t>SRAS Test</w:t>
            </w:r>
          </w:p>
        </w:tc>
        <w:tc>
          <w:tcPr>
            <w:tcW w:w="5776" w:type="dxa"/>
          </w:tcPr>
          <w:p w14:paraId="7DB5ED12" w14:textId="77777777" w:rsidR="00172AFA" w:rsidRPr="00014B5A" w:rsidDel="006B51CE" w:rsidRDefault="00172AFA" w:rsidP="00172AFA">
            <w:pPr>
              <w:jc w:val="both"/>
              <w:rPr>
                <w:rFonts w:ascii="Arial Narrow" w:hAnsi="Arial Narrow" w:cs="Arial"/>
                <w:sz w:val="20"/>
              </w:rPr>
            </w:pPr>
            <w:r>
              <w:rPr>
                <w:rFonts w:ascii="Arial Narrow" w:hAnsi="Arial Narrow" w:cs="Arial"/>
                <w:sz w:val="20"/>
              </w:rPr>
              <w:t>An SRAS Test as defined in the SRAS Guideline, that meets the requirements of clause 4 and appendix A of the SRAS Guideline.</w:t>
            </w:r>
          </w:p>
        </w:tc>
      </w:tr>
      <w:tr w:rsidR="00172AFA" w:rsidRPr="00014B5A" w:rsidDel="006B51CE" w14:paraId="74A9DF18" w14:textId="77777777" w:rsidTr="00172AFA">
        <w:tc>
          <w:tcPr>
            <w:tcW w:w="2835" w:type="dxa"/>
            <w:shd w:val="clear" w:color="auto" w:fill="F2F2F2" w:themeFill="background1" w:themeFillShade="F2"/>
          </w:tcPr>
          <w:p w14:paraId="18C05044" w14:textId="77777777" w:rsidR="00172AFA" w:rsidRDefault="00172AFA" w:rsidP="00172AFA">
            <w:pPr>
              <w:rPr>
                <w:rFonts w:ascii="Arial Narrow" w:hAnsi="Arial Narrow" w:cs="Arial"/>
                <w:b/>
                <w:sz w:val="20"/>
              </w:rPr>
            </w:pPr>
            <w:r>
              <w:rPr>
                <w:rFonts w:ascii="Arial Narrow" w:hAnsi="Arial Narrow" w:cs="Arial"/>
                <w:b/>
                <w:sz w:val="20"/>
              </w:rPr>
              <w:t>SRAS Third Party Assets</w:t>
            </w:r>
          </w:p>
        </w:tc>
        <w:tc>
          <w:tcPr>
            <w:tcW w:w="5776" w:type="dxa"/>
          </w:tcPr>
          <w:p w14:paraId="24D403FE" w14:textId="77777777" w:rsidR="00172AFA" w:rsidRPr="00014B5A" w:rsidRDefault="00172AFA" w:rsidP="00172AFA">
            <w:pPr>
              <w:jc w:val="both"/>
              <w:rPr>
                <w:rFonts w:ascii="Arial Narrow" w:hAnsi="Arial Narrow" w:cs="Arial"/>
                <w:sz w:val="20"/>
              </w:rPr>
            </w:pPr>
            <w:r>
              <w:rPr>
                <w:rFonts w:ascii="Arial Narrow" w:hAnsi="Arial Narrow" w:cs="Arial"/>
                <w:sz w:val="20"/>
              </w:rPr>
              <w:t>As defined in the SRAS Guideline and, if applicable, nominated in Schedule 2 of the Tender Form.</w:t>
            </w:r>
          </w:p>
        </w:tc>
      </w:tr>
      <w:tr w:rsidR="00172AFA" w:rsidRPr="00014B5A" w14:paraId="4342E20A" w14:textId="77777777" w:rsidTr="00172AFA">
        <w:tc>
          <w:tcPr>
            <w:tcW w:w="2835" w:type="dxa"/>
            <w:shd w:val="clear" w:color="auto" w:fill="F2F2F2" w:themeFill="background1" w:themeFillShade="F2"/>
          </w:tcPr>
          <w:p w14:paraId="77ED8CC5" w14:textId="77777777" w:rsidR="00172AFA" w:rsidRPr="00014B5A" w:rsidRDefault="00172AFA" w:rsidP="00172AFA">
            <w:pPr>
              <w:rPr>
                <w:rFonts w:ascii="Arial Narrow" w:hAnsi="Arial Narrow"/>
                <w:b/>
                <w:sz w:val="20"/>
              </w:rPr>
            </w:pPr>
            <w:r w:rsidRPr="00014B5A">
              <w:rPr>
                <w:rFonts w:ascii="Arial Narrow" w:hAnsi="Arial Narrow"/>
                <w:b/>
                <w:sz w:val="20"/>
              </w:rPr>
              <w:t>Statement of Compliance</w:t>
            </w:r>
          </w:p>
        </w:tc>
        <w:tc>
          <w:tcPr>
            <w:tcW w:w="5776" w:type="dxa"/>
          </w:tcPr>
          <w:p w14:paraId="6F3E4751" w14:textId="77777777" w:rsidR="00172AFA" w:rsidRPr="00014B5A" w:rsidRDefault="00172AFA" w:rsidP="00172AFA">
            <w:pPr>
              <w:rPr>
                <w:rFonts w:ascii="Arial Narrow" w:hAnsi="Arial Narrow"/>
                <w:sz w:val="20"/>
              </w:rPr>
            </w:pPr>
            <w:r w:rsidRPr="00014B5A">
              <w:rPr>
                <w:rFonts w:ascii="Arial Narrow" w:hAnsi="Arial Narrow" w:cs="Arial"/>
                <w:sz w:val="20"/>
              </w:rPr>
              <w:t xml:space="preserve">The document contained in Schedule 1 of the </w:t>
            </w:r>
            <w:r w:rsidRPr="0064064B">
              <w:rPr>
                <w:rFonts w:ascii="Arial Narrow" w:hAnsi="Arial Narrow" w:cs="Arial"/>
                <w:sz w:val="20"/>
              </w:rPr>
              <w:t>Tender</w:t>
            </w:r>
            <w:r w:rsidRPr="00014B5A">
              <w:rPr>
                <w:rFonts w:ascii="Arial Narrow" w:hAnsi="Arial Narrow" w:cs="Arial"/>
                <w:sz w:val="20"/>
              </w:rPr>
              <w:t xml:space="preserve"> Form.</w:t>
            </w:r>
          </w:p>
        </w:tc>
      </w:tr>
      <w:tr w:rsidR="00172AFA" w:rsidRPr="00014B5A" w14:paraId="6FCE74B8" w14:textId="77777777" w:rsidTr="00172AFA">
        <w:tc>
          <w:tcPr>
            <w:tcW w:w="2835" w:type="dxa"/>
            <w:shd w:val="clear" w:color="auto" w:fill="F2F2F2" w:themeFill="background1" w:themeFillShade="F2"/>
          </w:tcPr>
          <w:p w14:paraId="77E67DF5" w14:textId="77777777" w:rsidR="00172AFA" w:rsidRPr="00014B5A" w:rsidRDefault="00172AFA" w:rsidP="00172AFA">
            <w:pPr>
              <w:rPr>
                <w:rFonts w:ascii="Arial Narrow" w:hAnsi="Arial Narrow" w:cs="Arial"/>
                <w:b/>
                <w:sz w:val="20"/>
              </w:rPr>
            </w:pPr>
            <w:r w:rsidRPr="00014B5A">
              <w:rPr>
                <w:rFonts w:ascii="Arial Narrow" w:hAnsi="Arial Narrow" w:cs="Arial"/>
                <w:b/>
                <w:sz w:val="20"/>
              </w:rPr>
              <w:t>System Restart Standard</w:t>
            </w:r>
          </w:p>
        </w:tc>
        <w:tc>
          <w:tcPr>
            <w:tcW w:w="5776" w:type="dxa"/>
          </w:tcPr>
          <w:p w14:paraId="607B2886" w14:textId="606BBDAF" w:rsidR="00172AFA" w:rsidRPr="00014B5A" w:rsidRDefault="00172AFA" w:rsidP="00172AFA">
            <w:pPr>
              <w:jc w:val="both"/>
              <w:rPr>
                <w:rFonts w:ascii="Arial Narrow" w:hAnsi="Arial Narrow" w:cs="Arial"/>
                <w:sz w:val="20"/>
              </w:rPr>
            </w:pPr>
            <w:r w:rsidRPr="00014B5A">
              <w:rPr>
                <w:rFonts w:ascii="Arial Narrow" w:hAnsi="Arial Narrow" w:cs="Arial"/>
                <w:sz w:val="20"/>
              </w:rPr>
              <w:t xml:space="preserve">The </w:t>
            </w:r>
            <w:r w:rsidRPr="00014B5A">
              <w:rPr>
                <w:rFonts w:ascii="Arial Narrow" w:hAnsi="Arial Narrow" w:cs="Arial"/>
                <w:i/>
                <w:sz w:val="20"/>
              </w:rPr>
              <w:t>system restart standard</w:t>
            </w:r>
            <w:r>
              <w:rPr>
                <w:rFonts w:ascii="Arial Narrow" w:hAnsi="Arial Narrow" w:cs="Arial"/>
                <w:sz w:val="20"/>
              </w:rPr>
              <w:t xml:space="preserve"> determined by the </w:t>
            </w:r>
            <w:r>
              <w:rPr>
                <w:rFonts w:ascii="Arial Narrow" w:hAnsi="Arial Narrow" w:cs="Arial"/>
                <w:i/>
                <w:sz w:val="20"/>
              </w:rPr>
              <w:t xml:space="preserve">Reliability Panel </w:t>
            </w:r>
            <w:r w:rsidRPr="00014B5A">
              <w:rPr>
                <w:rFonts w:ascii="Arial Narrow" w:hAnsi="Arial Narrow" w:cs="Arial"/>
                <w:sz w:val="20"/>
              </w:rPr>
              <w:t>in accordance with the</w:t>
            </w:r>
            <w:r>
              <w:rPr>
                <w:rFonts w:ascii="Arial Narrow" w:hAnsi="Arial Narrow" w:cs="Arial"/>
                <w:sz w:val="20"/>
              </w:rPr>
              <w:t xml:space="preserve"> NER</w:t>
            </w:r>
            <w:r w:rsidRPr="00014B5A">
              <w:rPr>
                <w:rFonts w:ascii="Arial Narrow" w:hAnsi="Arial Narrow" w:cs="Arial"/>
                <w:sz w:val="20"/>
              </w:rPr>
              <w:t>.</w:t>
            </w:r>
          </w:p>
        </w:tc>
      </w:tr>
      <w:tr w:rsidR="00172AFA" w:rsidRPr="00014B5A" w14:paraId="6E4AAF12" w14:textId="77777777" w:rsidTr="00172AFA">
        <w:tc>
          <w:tcPr>
            <w:tcW w:w="2835" w:type="dxa"/>
            <w:shd w:val="clear" w:color="auto" w:fill="F2F2F2" w:themeFill="background1" w:themeFillShade="F2"/>
          </w:tcPr>
          <w:p w14:paraId="5E60A117" w14:textId="77777777" w:rsidR="00172AFA" w:rsidRPr="00014B5A" w:rsidRDefault="00172AFA" w:rsidP="00172AFA">
            <w:pPr>
              <w:rPr>
                <w:rFonts w:ascii="Arial Narrow" w:hAnsi="Arial Narrow" w:cs="Arial"/>
                <w:b/>
                <w:sz w:val="20"/>
              </w:rPr>
            </w:pPr>
            <w:r>
              <w:rPr>
                <w:rFonts w:ascii="Arial Narrow" w:hAnsi="Arial Narrow" w:cs="Arial"/>
                <w:b/>
                <w:sz w:val="20"/>
              </w:rPr>
              <w:t>Tender</w:t>
            </w:r>
          </w:p>
        </w:tc>
        <w:tc>
          <w:tcPr>
            <w:tcW w:w="5776" w:type="dxa"/>
          </w:tcPr>
          <w:p w14:paraId="3C10DF13" w14:textId="77777777" w:rsidR="00172AFA" w:rsidRPr="00014B5A" w:rsidRDefault="00172AFA" w:rsidP="00172AFA">
            <w:pPr>
              <w:jc w:val="both"/>
              <w:rPr>
                <w:rFonts w:ascii="Arial Narrow" w:hAnsi="Arial Narrow" w:cs="Arial"/>
                <w:sz w:val="20"/>
              </w:rPr>
            </w:pPr>
            <w:r w:rsidRPr="00014B5A">
              <w:rPr>
                <w:rFonts w:ascii="Arial Narrow" w:hAnsi="Arial Narrow" w:cs="Arial"/>
                <w:sz w:val="20"/>
              </w:rPr>
              <w:t xml:space="preserve">The submission lodged by the </w:t>
            </w:r>
            <w:r>
              <w:rPr>
                <w:rFonts w:ascii="Arial Narrow" w:hAnsi="Arial Narrow" w:cs="Arial"/>
                <w:sz w:val="20"/>
              </w:rPr>
              <w:t>Tenderer</w:t>
            </w:r>
            <w:r w:rsidRPr="00014B5A">
              <w:rPr>
                <w:rFonts w:ascii="Arial Narrow" w:hAnsi="Arial Narrow" w:cs="Arial"/>
                <w:sz w:val="20"/>
              </w:rPr>
              <w:t xml:space="preserve"> in response to </w:t>
            </w:r>
            <w:r>
              <w:rPr>
                <w:rFonts w:ascii="Arial Narrow" w:hAnsi="Arial Narrow" w:cs="Arial"/>
                <w:sz w:val="20"/>
              </w:rPr>
              <w:t xml:space="preserve">this </w:t>
            </w:r>
            <w:r w:rsidRPr="0064064B">
              <w:rPr>
                <w:rFonts w:ascii="Arial Narrow" w:hAnsi="Arial Narrow" w:cs="Arial"/>
                <w:sz w:val="20"/>
              </w:rPr>
              <w:t>ITT</w:t>
            </w:r>
            <w:r w:rsidRPr="00014B5A">
              <w:rPr>
                <w:rFonts w:ascii="Arial Narrow" w:hAnsi="Arial Narrow" w:cs="Arial"/>
                <w:sz w:val="20"/>
              </w:rPr>
              <w:t>.</w:t>
            </w:r>
          </w:p>
        </w:tc>
      </w:tr>
      <w:tr w:rsidR="00172AFA" w:rsidRPr="00014B5A" w14:paraId="69B43622" w14:textId="77777777" w:rsidTr="00172AFA">
        <w:tc>
          <w:tcPr>
            <w:tcW w:w="2835" w:type="dxa"/>
            <w:shd w:val="clear" w:color="auto" w:fill="F2F2F2" w:themeFill="background1" w:themeFillShade="F2"/>
          </w:tcPr>
          <w:p w14:paraId="422B3735" w14:textId="77777777" w:rsidR="00172AFA" w:rsidRDefault="00172AFA" w:rsidP="00172AFA">
            <w:pPr>
              <w:rPr>
                <w:rFonts w:ascii="Arial Narrow" w:hAnsi="Arial Narrow" w:cs="Arial"/>
                <w:b/>
                <w:sz w:val="20"/>
              </w:rPr>
            </w:pPr>
            <w:r>
              <w:rPr>
                <w:rFonts w:ascii="Arial Narrow" w:hAnsi="Arial Narrow" w:cs="Arial"/>
                <w:b/>
                <w:sz w:val="20"/>
              </w:rPr>
              <w:t>Tenderer</w:t>
            </w:r>
          </w:p>
        </w:tc>
        <w:tc>
          <w:tcPr>
            <w:tcW w:w="5776" w:type="dxa"/>
          </w:tcPr>
          <w:p w14:paraId="0EF1B4DD" w14:textId="77777777" w:rsidR="00172AFA" w:rsidRPr="00014B5A" w:rsidRDefault="00172AFA" w:rsidP="00172AFA">
            <w:pPr>
              <w:rPr>
                <w:rFonts w:ascii="Arial Narrow" w:hAnsi="Arial Narrow" w:cs="Arial"/>
                <w:sz w:val="20"/>
              </w:rPr>
            </w:pPr>
            <w:r>
              <w:rPr>
                <w:rFonts w:ascii="Arial Narrow" w:hAnsi="Arial Narrow" w:cs="Arial"/>
                <w:sz w:val="20"/>
              </w:rPr>
              <w:t xml:space="preserve">A person in receipt of this ITT. </w:t>
            </w:r>
          </w:p>
        </w:tc>
      </w:tr>
      <w:tr w:rsidR="00172AFA" w:rsidRPr="00014B5A" w14:paraId="34E9316C" w14:textId="77777777" w:rsidTr="00172AFA">
        <w:tc>
          <w:tcPr>
            <w:tcW w:w="2835" w:type="dxa"/>
            <w:shd w:val="clear" w:color="auto" w:fill="F2F2F2" w:themeFill="background1" w:themeFillShade="F2"/>
          </w:tcPr>
          <w:p w14:paraId="418DAADE" w14:textId="77777777" w:rsidR="00172AFA" w:rsidRPr="00014B5A" w:rsidRDefault="00172AFA" w:rsidP="00172AFA">
            <w:pPr>
              <w:rPr>
                <w:rFonts w:ascii="Arial Narrow" w:hAnsi="Arial Narrow" w:cs="Arial"/>
                <w:b/>
                <w:sz w:val="20"/>
              </w:rPr>
            </w:pPr>
            <w:r>
              <w:rPr>
                <w:rFonts w:ascii="Arial Narrow" w:hAnsi="Arial Narrow" w:cs="Arial"/>
                <w:b/>
                <w:sz w:val="20"/>
              </w:rPr>
              <w:t>Tender</w:t>
            </w:r>
            <w:r w:rsidRPr="00014B5A">
              <w:rPr>
                <w:rFonts w:ascii="Arial Narrow" w:hAnsi="Arial Narrow" w:cs="Arial"/>
                <w:b/>
                <w:sz w:val="20"/>
              </w:rPr>
              <w:t xml:space="preserve"> Form</w:t>
            </w:r>
          </w:p>
        </w:tc>
        <w:tc>
          <w:tcPr>
            <w:tcW w:w="5776" w:type="dxa"/>
          </w:tcPr>
          <w:p w14:paraId="72E0CB6E" w14:textId="2058C1F6" w:rsidR="00172AFA" w:rsidRPr="00014B5A" w:rsidRDefault="00172AFA" w:rsidP="00172AFA">
            <w:pPr>
              <w:rPr>
                <w:rFonts w:ascii="Arial Narrow" w:hAnsi="Arial Narrow" w:cs="Arial"/>
                <w:sz w:val="20"/>
              </w:rPr>
            </w:pPr>
            <w:r w:rsidRPr="00014B5A">
              <w:rPr>
                <w:rFonts w:ascii="Arial Narrow" w:hAnsi="Arial Narrow" w:cs="Arial"/>
                <w:sz w:val="20"/>
              </w:rPr>
              <w:t xml:space="preserve">The document contained in </w:t>
            </w:r>
            <w:r w:rsidRPr="00014B5A">
              <w:rPr>
                <w:rFonts w:ascii="Arial Narrow" w:hAnsi="Arial Narrow" w:cs="Arial"/>
                <w:b/>
                <w:sz w:val="20"/>
              </w:rPr>
              <w:t xml:space="preserve">Section </w:t>
            </w:r>
            <w:r>
              <w:rPr>
                <w:rFonts w:ascii="Arial Narrow" w:hAnsi="Arial Narrow" w:cs="Arial"/>
                <w:b/>
                <w:sz w:val="20"/>
              </w:rPr>
              <w:t>D</w:t>
            </w:r>
            <w:r w:rsidRPr="00014B5A">
              <w:rPr>
                <w:rFonts w:ascii="Arial Narrow" w:hAnsi="Arial Narrow" w:cs="Arial"/>
                <w:sz w:val="20"/>
              </w:rPr>
              <w:t>.</w:t>
            </w:r>
          </w:p>
        </w:tc>
      </w:tr>
      <w:tr w:rsidR="00172AFA" w:rsidRPr="00014B5A" w14:paraId="1217E2F4" w14:textId="77777777" w:rsidTr="00172AFA">
        <w:tc>
          <w:tcPr>
            <w:tcW w:w="2835" w:type="dxa"/>
            <w:shd w:val="clear" w:color="auto" w:fill="F2F2F2" w:themeFill="background1" w:themeFillShade="F2"/>
          </w:tcPr>
          <w:p w14:paraId="7119DCD0" w14:textId="77777777" w:rsidR="00172AFA" w:rsidRPr="00014B5A" w:rsidRDefault="00172AFA" w:rsidP="00172AFA">
            <w:pPr>
              <w:rPr>
                <w:rFonts w:ascii="Arial Narrow" w:hAnsi="Arial Narrow" w:cs="Arial"/>
                <w:b/>
                <w:sz w:val="20"/>
              </w:rPr>
            </w:pPr>
            <w:r>
              <w:rPr>
                <w:rFonts w:ascii="Arial Narrow" w:hAnsi="Arial Narrow" w:cs="Arial"/>
                <w:b/>
                <w:sz w:val="20"/>
              </w:rPr>
              <w:t>TNSP</w:t>
            </w:r>
          </w:p>
        </w:tc>
        <w:tc>
          <w:tcPr>
            <w:tcW w:w="5776" w:type="dxa"/>
          </w:tcPr>
          <w:p w14:paraId="08391CF0" w14:textId="77777777" w:rsidR="00172AFA" w:rsidRPr="00134B52" w:rsidRDefault="00172AFA" w:rsidP="00172AFA">
            <w:pPr>
              <w:rPr>
                <w:rFonts w:ascii="Arial Narrow" w:hAnsi="Arial Narrow" w:cs="Arial"/>
                <w:sz w:val="20"/>
              </w:rPr>
            </w:pPr>
            <w:r>
              <w:rPr>
                <w:rFonts w:ascii="Arial Narrow" w:hAnsi="Arial Narrow" w:cs="Arial"/>
                <w:i/>
                <w:sz w:val="20"/>
              </w:rPr>
              <w:t>Transmission Network Service Provider</w:t>
            </w:r>
            <w:r>
              <w:rPr>
                <w:rFonts w:ascii="Arial Narrow" w:hAnsi="Arial Narrow" w:cs="Arial"/>
                <w:sz w:val="20"/>
              </w:rPr>
              <w:t>.</w:t>
            </w:r>
          </w:p>
        </w:tc>
      </w:tr>
      <w:tr w:rsidR="00172AFA" w:rsidRPr="00014B5A" w14:paraId="535A9E2C" w14:textId="77777777" w:rsidTr="00172AFA">
        <w:tc>
          <w:tcPr>
            <w:tcW w:w="2835" w:type="dxa"/>
            <w:shd w:val="clear" w:color="auto" w:fill="F2F2F2" w:themeFill="background1" w:themeFillShade="F2"/>
          </w:tcPr>
          <w:p w14:paraId="396A7439" w14:textId="77777777" w:rsidR="00172AFA" w:rsidRPr="00014B5A" w:rsidRDefault="00172AFA" w:rsidP="00172AFA">
            <w:pPr>
              <w:rPr>
                <w:rFonts w:ascii="Arial Narrow" w:hAnsi="Arial Narrow" w:cs="Arial"/>
                <w:b/>
                <w:sz w:val="20"/>
              </w:rPr>
            </w:pPr>
            <w:r w:rsidRPr="00014B5A">
              <w:rPr>
                <w:rFonts w:ascii="Arial Narrow" w:hAnsi="Arial Narrow" w:cs="Arial"/>
                <w:b/>
                <w:sz w:val="20"/>
              </w:rPr>
              <w:t>TTHL</w:t>
            </w:r>
          </w:p>
        </w:tc>
        <w:tc>
          <w:tcPr>
            <w:tcW w:w="5776" w:type="dxa"/>
          </w:tcPr>
          <w:p w14:paraId="43F9706B" w14:textId="77777777" w:rsidR="00172AFA" w:rsidRPr="00014B5A" w:rsidRDefault="00172AFA" w:rsidP="00172AFA">
            <w:pPr>
              <w:rPr>
                <w:rFonts w:ascii="Arial Narrow" w:hAnsi="Arial Narrow" w:cs="Arial"/>
                <w:sz w:val="20"/>
              </w:rPr>
            </w:pPr>
            <w:r w:rsidRPr="00014B5A">
              <w:rPr>
                <w:rFonts w:ascii="Arial Narrow" w:hAnsi="Arial Narrow" w:cs="Arial"/>
                <w:sz w:val="20"/>
              </w:rPr>
              <w:t>Trip to house load</w:t>
            </w:r>
          </w:p>
        </w:tc>
      </w:tr>
    </w:tbl>
    <w:p w14:paraId="5672EE00" w14:textId="77777777" w:rsidR="00DF7A7A" w:rsidRPr="00A86692" w:rsidRDefault="00DF7A7A" w:rsidP="000C079A">
      <w:pPr>
        <w:spacing w:after="220"/>
        <w:ind w:left="720"/>
        <w:jc w:val="both"/>
        <w:rPr>
          <w:rFonts w:ascii="Arial Narrow" w:hAnsi="Arial Narrow"/>
          <w:szCs w:val="22"/>
        </w:rPr>
      </w:pPr>
    </w:p>
    <w:p w14:paraId="1221650C" w14:textId="36D650FE" w:rsidR="00F96BCE" w:rsidRPr="00A86692" w:rsidRDefault="00077AA7" w:rsidP="00A86692">
      <w:pPr>
        <w:pStyle w:val="ITTHeading1"/>
        <w:shd w:val="clear" w:color="auto" w:fill="auto"/>
        <w:rPr>
          <w:rFonts w:ascii="Arial Narrow" w:hAnsi="Arial Narrow"/>
        </w:rPr>
      </w:pPr>
      <w:bookmarkStart w:id="4" w:name="_Toc133844111"/>
      <w:r>
        <w:rPr>
          <w:rFonts w:ascii="Arial Narrow" w:hAnsi="Arial Narrow"/>
        </w:rPr>
        <w:lastRenderedPageBreak/>
        <w:t>ITT R</w:t>
      </w:r>
      <w:r w:rsidR="00DC522A">
        <w:rPr>
          <w:rFonts w:ascii="Arial Narrow" w:hAnsi="Arial Narrow"/>
        </w:rPr>
        <w:t>ULES</w:t>
      </w:r>
      <w:bookmarkEnd w:id="4"/>
    </w:p>
    <w:p w14:paraId="6F5EB3E3" w14:textId="77777777" w:rsidR="00077AA7" w:rsidRPr="00077AA7" w:rsidRDefault="00077AA7" w:rsidP="00077AA7">
      <w:pPr>
        <w:pStyle w:val="ITTHeading2"/>
        <w:rPr>
          <w:rFonts w:asciiTheme="minorHAnsi" w:hAnsiTheme="minorHAnsi"/>
          <w:bCs/>
          <w:sz w:val="20"/>
          <w:lang w:eastAsia="ko-KR"/>
        </w:rPr>
      </w:pPr>
      <w:bookmarkStart w:id="5" w:name="_Toc511019384"/>
      <w:bookmarkStart w:id="6" w:name="_Toc53979242"/>
      <w:bookmarkStart w:id="7" w:name="_Toc136926919"/>
      <w:bookmarkStart w:id="8" w:name="_Toc137014542"/>
      <w:bookmarkStart w:id="9" w:name="_Toc137442193"/>
      <w:r w:rsidRPr="00077AA7">
        <w:rPr>
          <w:bCs/>
        </w:rPr>
        <w:t>Application</w:t>
      </w:r>
    </w:p>
    <w:p w14:paraId="5AD88F74" w14:textId="47750572" w:rsidR="00077AA7" w:rsidRPr="00077AA7" w:rsidRDefault="00077AA7" w:rsidP="00077AA7">
      <w:pPr>
        <w:pStyle w:val="BodyText"/>
      </w:pPr>
      <w:r w:rsidRPr="00077AA7">
        <w:t>Partic</w:t>
      </w:r>
      <w:r>
        <w:t xml:space="preserve">ipation in the ITT Process is subject to compliance with the rules contained in this </w:t>
      </w:r>
      <w:r w:rsidRPr="00077AA7">
        <w:rPr>
          <w:b/>
          <w:bCs/>
        </w:rPr>
        <w:t>Section B (ITT Rules)</w:t>
      </w:r>
      <w:r>
        <w:t>.</w:t>
      </w:r>
    </w:p>
    <w:p w14:paraId="41044ED3" w14:textId="77777777" w:rsidR="00077AA7" w:rsidRDefault="00077AA7" w:rsidP="00077AA7">
      <w:pPr>
        <w:pStyle w:val="BodyText"/>
      </w:pPr>
      <w:r>
        <w:t>All persons (whether or not they submit a Tender) who obtain or receive this ITT may only use it, and the information contained in it, in compliance with the ITT Rules.</w:t>
      </w:r>
    </w:p>
    <w:p w14:paraId="5D50CDE4" w14:textId="77777777" w:rsidR="00077AA7" w:rsidRDefault="00077AA7" w:rsidP="00077AA7">
      <w:pPr>
        <w:pStyle w:val="BodyText"/>
      </w:pPr>
      <w:r>
        <w:t xml:space="preserve">All Tenderers are deemed to accept and agree to comply with the ITT Rules. </w:t>
      </w:r>
    </w:p>
    <w:p w14:paraId="7FF78A7A" w14:textId="77777777" w:rsidR="00077AA7" w:rsidRDefault="00077AA7" w:rsidP="00077AA7">
      <w:pPr>
        <w:pStyle w:val="BodyText"/>
      </w:pPr>
      <w:r>
        <w:t>The ITT Rules apply to:</w:t>
      </w:r>
    </w:p>
    <w:p w14:paraId="568864AD" w14:textId="0831559D" w:rsidR="00077AA7" w:rsidRPr="00B17D7D" w:rsidRDefault="00077AA7" w:rsidP="0072709B">
      <w:pPr>
        <w:pStyle w:val="LRDP12"/>
        <w:numPr>
          <w:ilvl w:val="0"/>
          <w:numId w:val="8"/>
        </w:numPr>
        <w:ind w:left="1276" w:hanging="567"/>
        <w:rPr>
          <w:rFonts w:ascii="Arial Narrow" w:hAnsi="Arial Narrow"/>
        </w:rPr>
      </w:pPr>
      <w:r w:rsidRPr="00B17D7D">
        <w:rPr>
          <w:rFonts w:ascii="Arial Narrow" w:hAnsi="Arial Narrow"/>
        </w:rPr>
        <w:t>this ITT and any other information given, received or made available in connection with this ITT , including any revisions or Addenda;</w:t>
      </w:r>
    </w:p>
    <w:p w14:paraId="498B3283" w14:textId="28844386" w:rsidR="00077AA7" w:rsidRPr="00B17D7D" w:rsidRDefault="00077AA7" w:rsidP="0072709B">
      <w:pPr>
        <w:pStyle w:val="LRDP12"/>
        <w:numPr>
          <w:ilvl w:val="0"/>
          <w:numId w:val="8"/>
        </w:numPr>
        <w:ind w:left="1276" w:hanging="567"/>
        <w:rPr>
          <w:rFonts w:ascii="Arial Narrow" w:hAnsi="Arial Narrow"/>
        </w:rPr>
      </w:pPr>
      <w:r w:rsidRPr="00B17D7D">
        <w:rPr>
          <w:rFonts w:ascii="Arial Narrow" w:hAnsi="Arial Narrow"/>
        </w:rPr>
        <w:t>the ITT Process; and</w:t>
      </w:r>
    </w:p>
    <w:p w14:paraId="7C1DBA7B" w14:textId="63A2E516" w:rsidR="00077AA7" w:rsidRPr="00B17D7D" w:rsidRDefault="00077AA7" w:rsidP="0072709B">
      <w:pPr>
        <w:pStyle w:val="LRDP12"/>
        <w:numPr>
          <w:ilvl w:val="0"/>
          <w:numId w:val="8"/>
        </w:numPr>
        <w:ind w:left="1276" w:hanging="567"/>
        <w:rPr>
          <w:rFonts w:ascii="Arial Narrow" w:hAnsi="Arial Narrow"/>
        </w:rPr>
      </w:pPr>
      <w:r w:rsidRPr="00B17D7D">
        <w:rPr>
          <w:rFonts w:ascii="Arial Narrow" w:hAnsi="Arial Narrow"/>
        </w:rPr>
        <w:t>any communications, including any presentations, meetings or negotiations, relating to this ITT or the ITT Process.</w:t>
      </w:r>
    </w:p>
    <w:p w14:paraId="262E382E" w14:textId="5E0A606D" w:rsidR="004338AF" w:rsidRPr="00BB48B1" w:rsidRDefault="004338AF" w:rsidP="00BB48B1">
      <w:pPr>
        <w:pStyle w:val="ITTHeading2"/>
      </w:pPr>
      <w:r w:rsidRPr="00BB48B1">
        <w:t>Legal Status</w:t>
      </w:r>
    </w:p>
    <w:p w14:paraId="76C04C83" w14:textId="1F0C115C" w:rsidR="00CC08DE" w:rsidRDefault="00CC08DE" w:rsidP="00CC08DE">
      <w:pPr>
        <w:pStyle w:val="BodyText"/>
      </w:pPr>
      <w:r>
        <w:t>This ITT is an invitation for persons to submit a Tender only.  This ITT is not an offer capable of acceptance.  This ITT must not be construed, interpreted, or relied upon, whether expressly or impliedly, as an offer capable of acceptance by any person.</w:t>
      </w:r>
    </w:p>
    <w:p w14:paraId="4A44321A" w14:textId="67497C3B" w:rsidR="00CC08DE" w:rsidRDefault="00CC08DE" w:rsidP="00CC08DE">
      <w:pPr>
        <w:pStyle w:val="BodyText"/>
      </w:pPr>
      <w:r>
        <w:t>Neither this ITT, nor a Tender submitted by a Tenderer, has any contractual effect in relation to proceeding with the Services, and does not create any contractual, promissory, restitutionary or other rights to proceed with the Services.</w:t>
      </w:r>
    </w:p>
    <w:p w14:paraId="3542FAAB" w14:textId="55F3010D" w:rsidR="00CC08DE" w:rsidRDefault="00CC08DE" w:rsidP="00CC08DE">
      <w:pPr>
        <w:pStyle w:val="BodyText"/>
      </w:pPr>
      <w:r>
        <w:t>AEMO is under no obligation to complete the process outlined in this ITT, or to proceed with the acquisition of any Services.  AEMO may change the process or the description of the requirements outlined in this ITT by issuing an Addendum to Tenderers.</w:t>
      </w:r>
    </w:p>
    <w:p w14:paraId="4B97BD4F" w14:textId="1D88D358" w:rsidR="00CC08DE" w:rsidRDefault="00CC08DE" w:rsidP="00CC08DE">
      <w:pPr>
        <w:pStyle w:val="BodyText"/>
      </w:pPr>
      <w:r>
        <w:t>AEMO and its Representatives will not be liable for any costs, expenses, losses or damages incurred by Tenderers through considering this opportunity, submitting a Tender, or otherwise participating in the ITT  Process.</w:t>
      </w:r>
    </w:p>
    <w:p w14:paraId="219C5CC0" w14:textId="77777777" w:rsidR="009773DA" w:rsidRPr="004D197F" w:rsidRDefault="009773DA" w:rsidP="009773DA">
      <w:pPr>
        <w:pStyle w:val="ITTHeading2"/>
      </w:pPr>
      <w:r w:rsidRPr="004D197F">
        <w:t>Confidentiality</w:t>
      </w:r>
      <w:r>
        <w:t xml:space="preserve"> of AEMO’S information</w:t>
      </w:r>
    </w:p>
    <w:p w14:paraId="069EE9CD" w14:textId="77777777" w:rsidR="009773DA" w:rsidRPr="00000C11" w:rsidRDefault="009773DA" w:rsidP="009773DA">
      <w:pPr>
        <w:pStyle w:val="BodyText"/>
      </w:pPr>
      <w:r w:rsidRPr="00A51D09">
        <w:t xml:space="preserve">This </w:t>
      </w:r>
      <w:r>
        <w:t xml:space="preserve">ITT </w:t>
      </w:r>
      <w:r w:rsidRPr="00E60CCE">
        <w:t xml:space="preserve"> may contain confidential information about AEMO and its activities. It is provided solely to enable </w:t>
      </w:r>
      <w:r>
        <w:t>Tenderer</w:t>
      </w:r>
      <w:r w:rsidRPr="00E60CCE">
        <w:t xml:space="preserve">s to submit </w:t>
      </w:r>
      <w:r>
        <w:t>Tender</w:t>
      </w:r>
      <w:r w:rsidRPr="00E60CCE">
        <w:t xml:space="preserve">s. </w:t>
      </w:r>
      <w:r>
        <w:t>Tenderer</w:t>
      </w:r>
      <w:r w:rsidRPr="00E60CCE">
        <w:t xml:space="preserve">s are not permitted to disclose or to use any such information contained in this </w:t>
      </w:r>
      <w:r>
        <w:t xml:space="preserve">ITT </w:t>
      </w:r>
      <w:r w:rsidRPr="00E60CCE">
        <w:t xml:space="preserve"> for any other purpose. </w:t>
      </w:r>
      <w:r>
        <w:t>Tenderer</w:t>
      </w:r>
      <w:r w:rsidRPr="00E60CCE">
        <w:t xml:space="preserve">s must take all reasonable steps (both physically and electronically) to protect the confidentiality of this </w:t>
      </w:r>
      <w:r>
        <w:t xml:space="preserve">ITT </w:t>
      </w:r>
      <w:r w:rsidRPr="00E60CCE">
        <w:t xml:space="preserve"> and all communications relating to it, including the </w:t>
      </w:r>
      <w:r>
        <w:t>Tenderer</w:t>
      </w:r>
      <w:r w:rsidRPr="00E60CCE">
        <w:t xml:space="preserve">’s </w:t>
      </w:r>
      <w:r>
        <w:t>Tender</w:t>
      </w:r>
      <w:r w:rsidRPr="00A51D09">
        <w:t>.</w:t>
      </w:r>
    </w:p>
    <w:p w14:paraId="3EC56C2F" w14:textId="5CAD8FD0" w:rsidR="002008D2" w:rsidRDefault="002008D2" w:rsidP="00BB48B1">
      <w:pPr>
        <w:pStyle w:val="ITTHeading2"/>
      </w:pPr>
      <w:r>
        <w:t>Intellectual Property</w:t>
      </w:r>
      <w:r w:rsidR="00985710">
        <w:t xml:space="preserve"> in ITT</w:t>
      </w:r>
    </w:p>
    <w:p w14:paraId="717A7D9A" w14:textId="4017D4C3" w:rsidR="009773DA" w:rsidRPr="00B84BEB" w:rsidRDefault="009773DA" w:rsidP="009773DA">
      <w:pPr>
        <w:pStyle w:val="BodyText"/>
        <w:rPr>
          <w:b/>
        </w:rPr>
      </w:pPr>
      <w:r w:rsidRPr="00B84BEB">
        <w:rPr>
          <w:lang w:eastAsia="en-AU"/>
        </w:rPr>
        <w:t xml:space="preserve">Unless otherwise indicated in this </w:t>
      </w:r>
      <w:r>
        <w:rPr>
          <w:lang w:eastAsia="en-AU"/>
        </w:rPr>
        <w:t>ITT</w:t>
      </w:r>
      <w:r w:rsidRPr="00B84BEB">
        <w:rPr>
          <w:lang w:eastAsia="en-AU"/>
        </w:rPr>
        <w:t xml:space="preserve">, AEMO owns such intellectual property rights as may exist in this </w:t>
      </w:r>
      <w:r>
        <w:rPr>
          <w:lang w:eastAsia="en-AU"/>
        </w:rPr>
        <w:t xml:space="preserve">ITT, including </w:t>
      </w:r>
      <w:r w:rsidRPr="00B84BEB">
        <w:rPr>
          <w:lang w:eastAsia="en-AU"/>
        </w:rPr>
        <w:t xml:space="preserve">and any other documents provided to </w:t>
      </w:r>
      <w:r>
        <w:rPr>
          <w:lang w:eastAsia="en-AU"/>
        </w:rPr>
        <w:t>Tenderer</w:t>
      </w:r>
      <w:r w:rsidRPr="00B84BEB">
        <w:rPr>
          <w:lang w:eastAsia="en-AU"/>
        </w:rPr>
        <w:t xml:space="preserve">s by or on behalf of AEMO in connection with the </w:t>
      </w:r>
      <w:r>
        <w:rPr>
          <w:lang w:eastAsia="en-AU"/>
        </w:rPr>
        <w:t xml:space="preserve">ITT </w:t>
      </w:r>
      <w:r w:rsidRPr="00B84BEB">
        <w:rPr>
          <w:lang w:eastAsia="en-AU"/>
        </w:rPr>
        <w:t xml:space="preserve">Process. </w:t>
      </w:r>
      <w:r>
        <w:rPr>
          <w:lang w:eastAsia="en-AU"/>
        </w:rPr>
        <w:t xml:space="preserve"> Tenderer</w:t>
      </w:r>
      <w:r w:rsidRPr="00B84BEB">
        <w:rPr>
          <w:lang w:eastAsia="en-AU"/>
        </w:rPr>
        <w:t xml:space="preserve">s are permitted to use and copy this </w:t>
      </w:r>
      <w:r>
        <w:rPr>
          <w:lang w:eastAsia="en-AU"/>
        </w:rPr>
        <w:t>ITT</w:t>
      </w:r>
      <w:r w:rsidRPr="00B84BEB">
        <w:rPr>
          <w:lang w:eastAsia="en-AU"/>
        </w:rPr>
        <w:t xml:space="preserve"> </w:t>
      </w:r>
      <w:r>
        <w:rPr>
          <w:lang w:eastAsia="en-AU"/>
        </w:rPr>
        <w:t xml:space="preserve">and any other documents provided </w:t>
      </w:r>
      <w:r w:rsidRPr="00B84BEB">
        <w:rPr>
          <w:lang w:eastAsia="en-AU"/>
        </w:rPr>
        <w:t xml:space="preserve">the sole purpose of </w:t>
      </w:r>
      <w:r>
        <w:rPr>
          <w:lang w:eastAsia="en-AU"/>
        </w:rPr>
        <w:t xml:space="preserve">preparing and </w:t>
      </w:r>
      <w:r w:rsidRPr="00B84BEB">
        <w:rPr>
          <w:lang w:eastAsia="en-AU"/>
        </w:rPr>
        <w:t xml:space="preserve">submitting a </w:t>
      </w:r>
      <w:r>
        <w:rPr>
          <w:lang w:eastAsia="en-AU"/>
        </w:rPr>
        <w:t>Tender</w:t>
      </w:r>
      <w:r w:rsidRPr="00B84BEB">
        <w:rPr>
          <w:lang w:eastAsia="en-AU"/>
        </w:rPr>
        <w:t>.</w:t>
      </w:r>
    </w:p>
    <w:p w14:paraId="0588B88E" w14:textId="77777777" w:rsidR="009773DA" w:rsidRPr="004D197F" w:rsidRDefault="009773DA" w:rsidP="009773DA">
      <w:pPr>
        <w:pStyle w:val="ITTHeading2"/>
        <w:ind w:left="709" w:hanging="709"/>
      </w:pPr>
      <w:r w:rsidRPr="004D197F">
        <w:lastRenderedPageBreak/>
        <w:t>Others to be bound</w:t>
      </w:r>
    </w:p>
    <w:p w14:paraId="691CCDF7" w14:textId="772C7E74" w:rsidR="009773DA" w:rsidRDefault="009773DA" w:rsidP="009773DA">
      <w:pPr>
        <w:pStyle w:val="BodyText"/>
        <w:rPr>
          <w:lang w:eastAsia="en-AU"/>
        </w:rPr>
      </w:pPr>
      <w:r w:rsidRPr="004D197F">
        <w:rPr>
          <w:lang w:eastAsia="en-AU"/>
        </w:rPr>
        <w:t xml:space="preserve">A </w:t>
      </w:r>
      <w:r>
        <w:rPr>
          <w:lang w:eastAsia="en-AU"/>
        </w:rPr>
        <w:t>Tenderer</w:t>
      </w:r>
      <w:r w:rsidRPr="004D197F">
        <w:rPr>
          <w:lang w:eastAsia="en-AU"/>
        </w:rPr>
        <w:t xml:space="preserve"> must ensure that each </w:t>
      </w:r>
      <w:r>
        <w:rPr>
          <w:lang w:eastAsia="en-AU"/>
        </w:rPr>
        <w:t>Representative</w:t>
      </w:r>
      <w:r w:rsidRPr="004D197F">
        <w:rPr>
          <w:lang w:eastAsia="en-AU"/>
        </w:rPr>
        <w:t xml:space="preserve"> to whom it supplies this </w:t>
      </w:r>
      <w:r>
        <w:rPr>
          <w:lang w:eastAsia="en-AU"/>
        </w:rPr>
        <w:t>ITT</w:t>
      </w:r>
      <w:r w:rsidRPr="004D197F">
        <w:rPr>
          <w:lang w:eastAsia="en-AU"/>
        </w:rPr>
        <w:t xml:space="preserve">, and any other documents issued in relation to the </w:t>
      </w:r>
      <w:r>
        <w:rPr>
          <w:lang w:eastAsia="en-AU"/>
        </w:rPr>
        <w:t>ITT</w:t>
      </w:r>
      <w:r w:rsidRPr="004D197F">
        <w:rPr>
          <w:lang w:eastAsia="en-AU"/>
        </w:rPr>
        <w:t xml:space="preserve"> Process, agrees to be bound by</w:t>
      </w:r>
      <w:r>
        <w:rPr>
          <w:lang w:eastAsia="en-AU"/>
        </w:rPr>
        <w:t>, and to comply with,</w:t>
      </w:r>
      <w:r w:rsidRPr="004D197F">
        <w:rPr>
          <w:lang w:eastAsia="en-AU"/>
        </w:rPr>
        <w:t xml:space="preserve"> the </w:t>
      </w:r>
      <w:r>
        <w:rPr>
          <w:lang w:eastAsia="en-AU"/>
        </w:rPr>
        <w:t>ITT Rules</w:t>
      </w:r>
      <w:r w:rsidRPr="004D197F">
        <w:rPr>
          <w:lang w:eastAsia="en-AU"/>
        </w:rPr>
        <w:t>.</w:t>
      </w:r>
      <w:r>
        <w:rPr>
          <w:lang w:eastAsia="en-AU"/>
        </w:rPr>
        <w:t xml:space="preserve">  The Tenderer acknowledges and agrees it is responsible for its Representative’s compliance with these ITT Rules and agrees to enforce these ITT Rules against its Representatives to prevent any breach or continuing breach, or as otherwise reasonably required by AEMO.</w:t>
      </w:r>
    </w:p>
    <w:p w14:paraId="69E32454" w14:textId="77777777" w:rsidR="004231F9" w:rsidRPr="004D197F" w:rsidRDefault="004231F9" w:rsidP="004231F9">
      <w:pPr>
        <w:pStyle w:val="ITTHeading2"/>
        <w:ind w:left="709" w:hanging="709"/>
      </w:pPr>
      <w:r w:rsidRPr="004D197F">
        <w:t>Conflict of interest</w:t>
      </w:r>
    </w:p>
    <w:p w14:paraId="49F59A9C" w14:textId="77777777" w:rsidR="004231F9" w:rsidRDefault="004231F9" w:rsidP="004231F9">
      <w:pPr>
        <w:pStyle w:val="BodyText"/>
        <w:rPr>
          <w:lang w:eastAsia="en-AU"/>
        </w:rPr>
      </w:pPr>
      <w:r w:rsidRPr="004D197F">
        <w:rPr>
          <w:lang w:eastAsia="en-AU"/>
        </w:rPr>
        <w:t xml:space="preserve">A </w:t>
      </w:r>
      <w:r>
        <w:rPr>
          <w:lang w:eastAsia="en-AU"/>
        </w:rPr>
        <w:t>Tenderer</w:t>
      </w:r>
      <w:r w:rsidRPr="004D197F">
        <w:rPr>
          <w:lang w:eastAsia="en-AU"/>
        </w:rPr>
        <w:t xml:space="preserve"> must not, and must ensure that its </w:t>
      </w:r>
      <w:r>
        <w:rPr>
          <w:lang w:eastAsia="en-AU"/>
        </w:rPr>
        <w:t>Representatives</w:t>
      </w:r>
      <w:r w:rsidRPr="004D197F">
        <w:rPr>
          <w:lang w:eastAsia="en-AU"/>
        </w:rPr>
        <w:t xml:space="preserve"> do not</w:t>
      </w:r>
      <w:r>
        <w:rPr>
          <w:lang w:eastAsia="en-AU"/>
        </w:rPr>
        <w:t>,</w:t>
      </w:r>
      <w:r w:rsidRPr="004D197F">
        <w:rPr>
          <w:lang w:eastAsia="en-AU"/>
        </w:rPr>
        <w:t xml:space="preserve"> place themselves in a position that may or does give rise to an actual, potential or perceived conflict of interest between AEMO and the </w:t>
      </w:r>
      <w:r>
        <w:rPr>
          <w:lang w:eastAsia="en-AU"/>
        </w:rPr>
        <w:t>Tenderer</w:t>
      </w:r>
      <w:r w:rsidRPr="004D197F">
        <w:rPr>
          <w:lang w:eastAsia="en-AU"/>
        </w:rPr>
        <w:t xml:space="preserve">’s interests during the </w:t>
      </w:r>
      <w:r>
        <w:rPr>
          <w:lang w:eastAsia="en-AU"/>
        </w:rPr>
        <w:t>ITT</w:t>
      </w:r>
      <w:r w:rsidRPr="004D197F">
        <w:rPr>
          <w:lang w:eastAsia="en-AU"/>
        </w:rPr>
        <w:t xml:space="preserve"> Process. If an actual, potential or perceived conflict of interest arises, then </w:t>
      </w:r>
      <w:r>
        <w:rPr>
          <w:lang w:eastAsia="en-AU"/>
        </w:rPr>
        <w:t>the Tenderer must promptly notify AEMO and take any steps that AEMO reasonably requires to address the conflict of interest.</w:t>
      </w:r>
    </w:p>
    <w:p w14:paraId="6E392251" w14:textId="77777777" w:rsidR="004231F9" w:rsidRPr="002F272E" w:rsidRDefault="004231F9" w:rsidP="004231F9">
      <w:pPr>
        <w:pStyle w:val="BodyText"/>
        <w:rPr>
          <w:lang w:eastAsia="en-AU"/>
        </w:rPr>
      </w:pPr>
      <w:r w:rsidRPr="002F272E">
        <w:rPr>
          <w:lang w:eastAsia="en-AU"/>
        </w:rPr>
        <w:t xml:space="preserve">Without limiting the preceding paragraph, AEMO may, in its absolute discretion, decide not to evaluate (or continue to evaluate) a </w:t>
      </w:r>
      <w:r>
        <w:rPr>
          <w:lang w:eastAsia="en-AU"/>
        </w:rPr>
        <w:t>Tender</w:t>
      </w:r>
      <w:r w:rsidRPr="002F272E">
        <w:rPr>
          <w:lang w:eastAsia="en-AU"/>
        </w:rPr>
        <w:t xml:space="preserve"> if, AEMO believes that the </w:t>
      </w:r>
      <w:r>
        <w:rPr>
          <w:lang w:eastAsia="en-AU"/>
        </w:rPr>
        <w:t>Tender</w:t>
      </w:r>
      <w:r w:rsidRPr="002F272E">
        <w:rPr>
          <w:lang w:eastAsia="en-AU"/>
        </w:rPr>
        <w:t xml:space="preserve"> was prepared (in whole or in part) by a Representative of the </w:t>
      </w:r>
      <w:r>
        <w:rPr>
          <w:lang w:eastAsia="en-AU"/>
        </w:rPr>
        <w:t>Tenderer</w:t>
      </w:r>
      <w:r w:rsidRPr="002F272E">
        <w:rPr>
          <w:lang w:eastAsia="en-AU"/>
        </w:rPr>
        <w:t xml:space="preserve"> where that Representative was:  </w:t>
      </w:r>
    </w:p>
    <w:p w14:paraId="20E680DA" w14:textId="77777777" w:rsidR="004231F9" w:rsidRPr="004231F9" w:rsidRDefault="004231F9" w:rsidP="0072709B">
      <w:pPr>
        <w:pStyle w:val="LRDP12"/>
        <w:numPr>
          <w:ilvl w:val="0"/>
          <w:numId w:val="26"/>
        </w:numPr>
        <w:ind w:left="1276" w:hanging="567"/>
        <w:rPr>
          <w:rFonts w:ascii="Arial Narrow" w:hAnsi="Arial Narrow"/>
        </w:rPr>
      </w:pPr>
      <w:r w:rsidRPr="004231F9">
        <w:rPr>
          <w:rFonts w:ascii="Arial Narrow" w:hAnsi="Arial Narrow"/>
        </w:rPr>
        <w:t>a Representative of, or otherwise engaged by, AEMO at any time during the 12 months immediately preceding the date of issue of the ITT;</w:t>
      </w:r>
    </w:p>
    <w:p w14:paraId="45E9F5C0" w14:textId="77777777" w:rsidR="004231F9" w:rsidRPr="004231F9" w:rsidRDefault="004231F9" w:rsidP="0072709B">
      <w:pPr>
        <w:pStyle w:val="LRDP12"/>
        <w:numPr>
          <w:ilvl w:val="0"/>
          <w:numId w:val="26"/>
        </w:numPr>
        <w:ind w:left="1276" w:hanging="567"/>
        <w:rPr>
          <w:rFonts w:ascii="Arial Narrow" w:hAnsi="Arial Narrow"/>
        </w:rPr>
      </w:pPr>
      <w:r w:rsidRPr="004231F9">
        <w:rPr>
          <w:rFonts w:ascii="Arial Narrow" w:hAnsi="Arial Narrow"/>
        </w:rPr>
        <w:t>Involved in the management of the ITT Process or preparation of the ITT at any time.</w:t>
      </w:r>
    </w:p>
    <w:p w14:paraId="3B859653" w14:textId="77777777" w:rsidR="004231F9" w:rsidRPr="004231F9" w:rsidRDefault="004231F9" w:rsidP="004231F9">
      <w:pPr>
        <w:pStyle w:val="LRDP12"/>
        <w:numPr>
          <w:ilvl w:val="0"/>
          <w:numId w:val="0"/>
        </w:numPr>
        <w:ind w:left="709"/>
        <w:rPr>
          <w:rFonts w:ascii="Arial Narrow" w:hAnsi="Arial Narrow"/>
        </w:rPr>
      </w:pPr>
      <w:r w:rsidRPr="004231F9">
        <w:rPr>
          <w:rFonts w:ascii="Arial Narrow" w:hAnsi="Arial Narrow"/>
        </w:rPr>
        <w:t>Before the Closing Date, a Tenderer may request permission to have a Representative described above contribute to or participate in the ITT Process and/or preparation of the Tenderer’s Tender.  Where a Tenderer makes such a request, AEMO may, in its absolute discretion, at any time:</w:t>
      </w:r>
    </w:p>
    <w:p w14:paraId="0EE4C440" w14:textId="77777777" w:rsidR="004231F9" w:rsidRPr="004231F9" w:rsidRDefault="004231F9" w:rsidP="0072709B">
      <w:pPr>
        <w:pStyle w:val="LRDP12"/>
        <w:numPr>
          <w:ilvl w:val="0"/>
          <w:numId w:val="27"/>
        </w:numPr>
        <w:ind w:left="1276" w:hanging="567"/>
        <w:rPr>
          <w:rFonts w:ascii="Arial Narrow" w:hAnsi="Arial Narrow"/>
        </w:rPr>
      </w:pPr>
      <w:r w:rsidRPr="004231F9">
        <w:rPr>
          <w:rFonts w:ascii="Arial Narrow" w:hAnsi="Arial Narrow"/>
        </w:rPr>
        <w:t>grant permission, whether with or without such conditions as AEMO thinks fit; or</w:t>
      </w:r>
    </w:p>
    <w:p w14:paraId="79497369" w14:textId="77777777" w:rsidR="004231F9" w:rsidRPr="004231F9" w:rsidRDefault="004231F9" w:rsidP="0072709B">
      <w:pPr>
        <w:pStyle w:val="LRDP12"/>
        <w:numPr>
          <w:ilvl w:val="0"/>
          <w:numId w:val="27"/>
        </w:numPr>
        <w:ind w:left="1276" w:hanging="567"/>
        <w:rPr>
          <w:rFonts w:ascii="Arial Narrow" w:hAnsi="Arial Narrow"/>
        </w:rPr>
      </w:pPr>
      <w:r w:rsidRPr="004231F9">
        <w:rPr>
          <w:rFonts w:ascii="Arial Narrow" w:hAnsi="Arial Narrow"/>
        </w:rPr>
        <w:t>refuse permission.</w:t>
      </w:r>
    </w:p>
    <w:p w14:paraId="0102B993" w14:textId="434CB6B3" w:rsidR="002008D2" w:rsidRDefault="002008D2" w:rsidP="00BB48B1">
      <w:pPr>
        <w:pStyle w:val="ITTHeading2"/>
      </w:pPr>
      <w:r>
        <w:t>No Warranty</w:t>
      </w:r>
    </w:p>
    <w:p w14:paraId="6095EFF4" w14:textId="77777777" w:rsidR="002008D2" w:rsidRPr="00DB3ECC" w:rsidRDefault="002008D2" w:rsidP="0064064B">
      <w:pPr>
        <w:pStyle w:val="BodyText"/>
      </w:pPr>
      <w:r w:rsidRPr="00DB3ECC">
        <w:t>Except to the extent required by law:</w:t>
      </w:r>
    </w:p>
    <w:p w14:paraId="14ACA394" w14:textId="075B409D" w:rsidR="009773DA" w:rsidRPr="008D2421" w:rsidRDefault="009773DA" w:rsidP="0072709B">
      <w:pPr>
        <w:pStyle w:val="LRDP12"/>
        <w:numPr>
          <w:ilvl w:val="0"/>
          <w:numId w:val="17"/>
        </w:numPr>
        <w:ind w:left="1276" w:hanging="567"/>
        <w:rPr>
          <w:rFonts w:ascii="Arial Narrow" w:hAnsi="Arial Narrow"/>
        </w:rPr>
      </w:pPr>
      <w:r w:rsidRPr="008D2421">
        <w:rPr>
          <w:rFonts w:ascii="Arial Narrow" w:hAnsi="Arial Narrow"/>
        </w:rPr>
        <w:t xml:space="preserve">AEMO and its Representatives make no warranties or representations, express or implied, oral or written, about the accuracy, adequacy, currency or completeness of this ITT, or any other information provided or made available to Tenderers, including (without limitation) as part of the ITT  Process; </w:t>
      </w:r>
    </w:p>
    <w:p w14:paraId="3E0C2521" w14:textId="77777777" w:rsidR="009773DA" w:rsidRPr="008D2421" w:rsidRDefault="009773DA" w:rsidP="0072709B">
      <w:pPr>
        <w:pStyle w:val="LRDP12"/>
        <w:numPr>
          <w:ilvl w:val="0"/>
          <w:numId w:val="17"/>
        </w:numPr>
        <w:ind w:left="1276" w:hanging="567"/>
        <w:rPr>
          <w:rFonts w:ascii="Arial Narrow" w:hAnsi="Arial Narrow"/>
        </w:rPr>
      </w:pPr>
      <w:r w:rsidRPr="008D2421">
        <w:rPr>
          <w:rFonts w:ascii="Arial Narrow" w:hAnsi="Arial Narrow"/>
        </w:rPr>
        <w:t>AEMO and its Representatives make no warranty about whether (or in what form) the ITT will proceed; and</w:t>
      </w:r>
    </w:p>
    <w:p w14:paraId="72F93DF3" w14:textId="080D6FC2" w:rsidR="009773DA" w:rsidRPr="008D2421" w:rsidRDefault="009773DA" w:rsidP="0072709B">
      <w:pPr>
        <w:pStyle w:val="LRDP12"/>
        <w:numPr>
          <w:ilvl w:val="0"/>
          <w:numId w:val="17"/>
        </w:numPr>
        <w:ind w:left="1276" w:hanging="567"/>
        <w:rPr>
          <w:rFonts w:ascii="Arial Narrow" w:hAnsi="Arial Narrow"/>
        </w:rPr>
      </w:pPr>
      <w:r w:rsidRPr="008D2421">
        <w:rPr>
          <w:rFonts w:ascii="Arial Narrow" w:hAnsi="Arial Narrow"/>
        </w:rPr>
        <w:t>AEMO and its Representative do not accept responsibility, and will not be liable in any way for any costs, expenses, losses or damages of whatever kind (whether foreseeable or not) however arising (including, without limitation, by reason of negligence or default), incurred by any person in connection with this ITT , or any other information provided by AEMO in relation to the Services or the ITT Process</w:t>
      </w:r>
      <w:r w:rsidR="008D2421">
        <w:rPr>
          <w:rFonts w:ascii="Arial Narrow" w:hAnsi="Arial Narrow"/>
        </w:rPr>
        <w:t>,</w:t>
      </w:r>
      <w:r w:rsidRPr="008D2421">
        <w:rPr>
          <w:rFonts w:ascii="Arial Narrow" w:hAnsi="Arial Narrow"/>
        </w:rPr>
        <w:t xml:space="preserve"> or in preparing any Tender.</w:t>
      </w:r>
    </w:p>
    <w:p w14:paraId="7B760D8A" w14:textId="77777777" w:rsidR="008D2421" w:rsidRPr="004D197F" w:rsidRDefault="008D2421" w:rsidP="008D2421">
      <w:pPr>
        <w:pStyle w:val="ITTHeading2"/>
      </w:pPr>
      <w:r>
        <w:t>No r</w:t>
      </w:r>
      <w:r w:rsidRPr="004D197F">
        <w:t>epresentations</w:t>
      </w:r>
    </w:p>
    <w:p w14:paraId="7AF25C18" w14:textId="0BAED1EA" w:rsidR="008D2421" w:rsidRDefault="008D2421" w:rsidP="008D2421">
      <w:pPr>
        <w:pStyle w:val="BodyText"/>
        <w:rPr>
          <w:lang w:eastAsia="en-AU"/>
        </w:rPr>
      </w:pPr>
      <w:r w:rsidRPr="004D197F">
        <w:rPr>
          <w:lang w:eastAsia="en-AU"/>
        </w:rPr>
        <w:t xml:space="preserve">No representation made by or on behalf of AEMO </w:t>
      </w:r>
      <w:r>
        <w:rPr>
          <w:lang w:eastAsia="en-AU"/>
        </w:rPr>
        <w:t xml:space="preserve">or its Representatives </w:t>
      </w:r>
      <w:r w:rsidRPr="004D197F">
        <w:rPr>
          <w:lang w:eastAsia="en-AU"/>
        </w:rPr>
        <w:t xml:space="preserve">in relation to this </w:t>
      </w:r>
      <w:r>
        <w:rPr>
          <w:lang w:eastAsia="en-AU"/>
        </w:rPr>
        <w:t>ITT</w:t>
      </w:r>
      <w:r w:rsidRPr="004D197F">
        <w:rPr>
          <w:lang w:eastAsia="en-AU"/>
        </w:rPr>
        <w:t xml:space="preserve"> or its subject matter will be binding on AEMO unless that representation is expressly incorporated into any contract(s) ultimately entered into between AEMO and a </w:t>
      </w:r>
      <w:r>
        <w:rPr>
          <w:lang w:eastAsia="en-AU"/>
        </w:rPr>
        <w:t>Tenderer</w:t>
      </w:r>
      <w:r w:rsidRPr="004D197F">
        <w:rPr>
          <w:lang w:eastAsia="en-AU"/>
        </w:rPr>
        <w:t>.</w:t>
      </w:r>
    </w:p>
    <w:p w14:paraId="344C2D5E" w14:textId="77777777" w:rsidR="00CE6FA3" w:rsidRPr="00CA3661" w:rsidRDefault="00CE6FA3" w:rsidP="00CE6FA3">
      <w:pPr>
        <w:pStyle w:val="ITTHeading2"/>
        <w:ind w:left="709" w:hanging="709"/>
      </w:pPr>
      <w:r w:rsidRPr="00CA3661">
        <w:lastRenderedPageBreak/>
        <w:t>Disqualification</w:t>
      </w:r>
    </w:p>
    <w:p w14:paraId="3C85A089" w14:textId="02DC0073" w:rsidR="00240369" w:rsidRPr="00CC08DE" w:rsidRDefault="00CE6FA3" w:rsidP="00240369">
      <w:pPr>
        <w:pStyle w:val="BodyText"/>
      </w:pPr>
      <w:r w:rsidRPr="00CC08DE">
        <w:t xml:space="preserve">In addition to any other remedies available to it under law or contract, </w:t>
      </w:r>
      <w:r>
        <w:t xml:space="preserve">AEMO may, at its absolute discretion, immediately disqualify a Tenderer from further participation in the </w:t>
      </w:r>
      <w:r w:rsidR="00240369">
        <w:t xml:space="preserve">ITT </w:t>
      </w:r>
      <w:r>
        <w:t xml:space="preserve">Process if AEMO believes that Tenderer has </w:t>
      </w:r>
      <w:r w:rsidR="00240369">
        <w:t xml:space="preserve">failed to comply with </w:t>
      </w:r>
      <w:r w:rsidRPr="00CA3661">
        <w:t xml:space="preserve"> </w:t>
      </w:r>
      <w:r w:rsidR="00240369">
        <w:t xml:space="preserve">any component </w:t>
      </w:r>
      <w:r w:rsidRPr="00CA3661">
        <w:t>of the ITT Rules or this ITT</w:t>
      </w:r>
    </w:p>
    <w:p w14:paraId="51759AFD" w14:textId="77777777" w:rsidR="00CE6FA3" w:rsidRPr="004D197F" w:rsidRDefault="00CE6FA3" w:rsidP="00CE6FA3">
      <w:pPr>
        <w:pStyle w:val="ITTHeading2"/>
        <w:ind w:left="709" w:hanging="709"/>
      </w:pPr>
      <w:r w:rsidRPr="004D197F">
        <w:t>No publicity</w:t>
      </w:r>
    </w:p>
    <w:p w14:paraId="27C7C64F" w14:textId="1C355409" w:rsidR="00CE6FA3" w:rsidRDefault="00CE6FA3" w:rsidP="00CE6FA3">
      <w:pPr>
        <w:pStyle w:val="BodyText"/>
        <w:rPr>
          <w:lang w:eastAsia="en-AU"/>
        </w:rPr>
      </w:pPr>
      <w:r>
        <w:rPr>
          <w:lang w:eastAsia="en-AU"/>
        </w:rPr>
        <w:t>Tenderer</w:t>
      </w:r>
      <w:r w:rsidRPr="004D197F">
        <w:rPr>
          <w:lang w:eastAsia="en-AU"/>
        </w:rPr>
        <w:t xml:space="preserve">s </w:t>
      </w:r>
      <w:r w:rsidRPr="006B1BFB">
        <w:rPr>
          <w:lang w:eastAsia="en-AU"/>
        </w:rPr>
        <w:t xml:space="preserve">must not make any public or media announcement about this </w:t>
      </w:r>
      <w:r>
        <w:rPr>
          <w:lang w:eastAsia="en-AU"/>
        </w:rPr>
        <w:t>ITT</w:t>
      </w:r>
      <w:r w:rsidRPr="006B1BFB">
        <w:rPr>
          <w:lang w:eastAsia="en-AU"/>
        </w:rPr>
        <w:t xml:space="preserve"> or the outcome of this </w:t>
      </w:r>
      <w:r>
        <w:rPr>
          <w:lang w:eastAsia="en-AU"/>
        </w:rPr>
        <w:t>ITT</w:t>
      </w:r>
      <w:r w:rsidRPr="006B1BFB">
        <w:rPr>
          <w:lang w:eastAsia="en-AU"/>
        </w:rPr>
        <w:t xml:space="preserve"> without AEMO’s prior written permission. </w:t>
      </w:r>
      <w:r w:rsidRPr="004D197F">
        <w:rPr>
          <w:lang w:eastAsia="en-AU"/>
        </w:rPr>
        <w:t xml:space="preserve"> </w:t>
      </w:r>
    </w:p>
    <w:p w14:paraId="07324CFE" w14:textId="77777777" w:rsidR="004231F9" w:rsidRPr="004D197F" w:rsidRDefault="004231F9" w:rsidP="004231F9">
      <w:pPr>
        <w:pStyle w:val="ITTHeading2"/>
        <w:ind w:left="709" w:hanging="709"/>
      </w:pPr>
      <w:r w:rsidRPr="004D197F">
        <w:t>Continuing obligations</w:t>
      </w:r>
    </w:p>
    <w:p w14:paraId="2FC054E3" w14:textId="77777777" w:rsidR="004231F9" w:rsidRPr="004D197F" w:rsidRDefault="004231F9" w:rsidP="004231F9">
      <w:pPr>
        <w:pStyle w:val="BodyText"/>
      </w:pPr>
      <w:r w:rsidRPr="004D197F">
        <w:rPr>
          <w:lang w:eastAsia="en-AU"/>
        </w:rPr>
        <w:t xml:space="preserve">The obligations of a </w:t>
      </w:r>
      <w:r>
        <w:rPr>
          <w:lang w:eastAsia="en-AU"/>
        </w:rPr>
        <w:t>Tenderer</w:t>
      </w:r>
      <w:r w:rsidRPr="004D197F">
        <w:rPr>
          <w:lang w:eastAsia="en-AU"/>
        </w:rPr>
        <w:t xml:space="preserve"> under these </w:t>
      </w:r>
      <w:r>
        <w:rPr>
          <w:lang w:eastAsia="en-AU"/>
        </w:rPr>
        <w:t>ITT Rules</w:t>
      </w:r>
      <w:r w:rsidRPr="004D197F">
        <w:rPr>
          <w:lang w:eastAsia="en-AU"/>
        </w:rPr>
        <w:t xml:space="preserve"> survive the termination or expiration of the </w:t>
      </w:r>
      <w:r>
        <w:rPr>
          <w:lang w:eastAsia="en-AU"/>
        </w:rPr>
        <w:t xml:space="preserve">ITT </w:t>
      </w:r>
      <w:r w:rsidRPr="004D197F">
        <w:rPr>
          <w:lang w:eastAsia="en-AU"/>
        </w:rPr>
        <w:t xml:space="preserve"> Process.</w:t>
      </w:r>
    </w:p>
    <w:p w14:paraId="27B890AC" w14:textId="77777777" w:rsidR="00614849" w:rsidRPr="00A51D09" w:rsidRDefault="00614849" w:rsidP="00614849">
      <w:pPr>
        <w:pStyle w:val="ITTHeading2"/>
        <w:numPr>
          <w:ilvl w:val="0"/>
          <w:numId w:val="0"/>
        </w:numPr>
        <w:rPr>
          <w:u w:val="single"/>
        </w:rPr>
      </w:pPr>
      <w:r w:rsidRPr="00A51D09">
        <w:rPr>
          <w:u w:val="single"/>
        </w:rPr>
        <w:t xml:space="preserve">Communications during the </w:t>
      </w:r>
      <w:r>
        <w:rPr>
          <w:u w:val="single"/>
        </w:rPr>
        <w:t>ITT</w:t>
      </w:r>
      <w:r w:rsidRPr="00A51D09">
        <w:rPr>
          <w:u w:val="single"/>
        </w:rPr>
        <w:t xml:space="preserve"> Process</w:t>
      </w:r>
    </w:p>
    <w:p w14:paraId="6E92D652" w14:textId="77777777" w:rsidR="00614849" w:rsidRPr="0041095F" w:rsidRDefault="00614849" w:rsidP="00614849">
      <w:pPr>
        <w:pStyle w:val="ITTHeading2"/>
        <w:ind w:left="709" w:hanging="709"/>
      </w:pPr>
      <w:r w:rsidRPr="0041095F">
        <w:t>Prohibited contact</w:t>
      </w:r>
    </w:p>
    <w:p w14:paraId="1234FEB4" w14:textId="77777777" w:rsidR="00614849" w:rsidRDefault="00614849" w:rsidP="00614849">
      <w:pPr>
        <w:pStyle w:val="BodyText"/>
      </w:pPr>
      <w:r>
        <w:t>Without first obtaining the written approval of AEMO, Tenderers must not, and must ensure that their Representatives do not:</w:t>
      </w:r>
    </w:p>
    <w:p w14:paraId="161BFD0F" w14:textId="2E7197A6" w:rsidR="00614849" w:rsidRPr="00614849" w:rsidRDefault="00614849" w:rsidP="0072709B">
      <w:pPr>
        <w:pStyle w:val="LRDP12"/>
        <w:numPr>
          <w:ilvl w:val="0"/>
          <w:numId w:val="25"/>
        </w:numPr>
        <w:ind w:left="1276" w:hanging="567"/>
        <w:rPr>
          <w:rFonts w:ascii="Arial Narrow" w:hAnsi="Arial Narrow"/>
        </w:rPr>
      </w:pPr>
      <w:r w:rsidRPr="00614849">
        <w:rPr>
          <w:rFonts w:ascii="Arial Narrow" w:hAnsi="Arial Narrow"/>
        </w:rPr>
        <w:t>contact, make any enquiry to or have any discussions (in any form, whether written, oral or otherwise) in relation to any aspect of the Services or its Tender with the Commonwealth Government, the State Government or any Local Government or any regulator or regulatory authority;</w:t>
      </w:r>
    </w:p>
    <w:p w14:paraId="6FFB0582" w14:textId="77777777" w:rsidR="00614849" w:rsidRDefault="00614849" w:rsidP="00614849">
      <w:pPr>
        <w:pStyle w:val="ITTHeading2"/>
        <w:ind w:left="709" w:hanging="709"/>
      </w:pPr>
      <w:r w:rsidRPr="004D197F">
        <w:t>Requests for further information</w:t>
      </w:r>
    </w:p>
    <w:p w14:paraId="0C0F5220" w14:textId="77777777" w:rsidR="00614849" w:rsidRDefault="00614849" w:rsidP="00614849">
      <w:pPr>
        <w:pStyle w:val="BodyText"/>
      </w:pPr>
      <w:r w:rsidRPr="004D197F">
        <w:t xml:space="preserve">If </w:t>
      </w:r>
      <w:r>
        <w:t>Tenderers find any discrepancy, error, or have any doubt as to the meaning or completeness of this ITT, or require clarification on any aspect of it, they should notify the AEMO Contact in writing, not less than 7 days before the Closing Date. AEMO may issue an Addendum to all Tenderers clarifying the discrepancy, error, doubt, or query (as the case may be) and may, in its absolute discretion, extend the Closing Date.</w:t>
      </w:r>
    </w:p>
    <w:p w14:paraId="42CE5FE1" w14:textId="77777777" w:rsidR="00614849" w:rsidRDefault="00614849" w:rsidP="00614849">
      <w:pPr>
        <w:pStyle w:val="BodyText"/>
      </w:pPr>
      <w:r>
        <w:t>AEMO reserves the right not to respond to any question or request, irrespective of when it is received.</w:t>
      </w:r>
    </w:p>
    <w:p w14:paraId="024114CE" w14:textId="77777777" w:rsidR="00614849" w:rsidRDefault="00614849" w:rsidP="00614849">
      <w:pPr>
        <w:pStyle w:val="BodyText"/>
      </w:pPr>
      <w:r>
        <w:t>No representation or explanation to Tenderers as to the meaning of this ITT, or as to anything to be done or not to be done by the proponent, will be taken to be included in this ITT unless it is contained in an Addendum</w:t>
      </w:r>
      <w:r w:rsidRPr="004D197F">
        <w:t>.</w:t>
      </w:r>
    </w:p>
    <w:p w14:paraId="15C7E30D" w14:textId="77777777" w:rsidR="00614849" w:rsidRDefault="00614849" w:rsidP="00614849">
      <w:pPr>
        <w:pStyle w:val="BodyText"/>
      </w:pPr>
      <w:r>
        <w:t xml:space="preserve">All communications by Tenderers to AEMO about matters connected with this ITT must be made to the AEMO Contact unless otherwise authorised by the AEMO Contact.  </w:t>
      </w:r>
    </w:p>
    <w:p w14:paraId="357C508C" w14:textId="7E4BA826" w:rsidR="00B17D7D" w:rsidRPr="00B17D7D" w:rsidRDefault="00B17D7D" w:rsidP="00B17D7D">
      <w:pPr>
        <w:pStyle w:val="ITTHeading2"/>
        <w:numPr>
          <w:ilvl w:val="0"/>
          <w:numId w:val="0"/>
        </w:numPr>
        <w:rPr>
          <w:u w:val="single"/>
        </w:rPr>
      </w:pPr>
      <w:r w:rsidRPr="00B17D7D">
        <w:rPr>
          <w:u w:val="single"/>
        </w:rPr>
        <w:t>Preparation of and submitting a Tender</w:t>
      </w:r>
    </w:p>
    <w:p w14:paraId="6F3250A7" w14:textId="77777777" w:rsidR="00614849" w:rsidRPr="00A86692" w:rsidRDefault="00614849" w:rsidP="00614849">
      <w:pPr>
        <w:pStyle w:val="ITTHeading2"/>
      </w:pPr>
      <w:r w:rsidRPr="00A86692">
        <w:t>Queries</w:t>
      </w:r>
    </w:p>
    <w:p w14:paraId="784CFB12" w14:textId="096BAAFC" w:rsidR="00614849" w:rsidRDefault="00614849" w:rsidP="00614849">
      <w:pPr>
        <w:pStyle w:val="BodyText"/>
      </w:pPr>
      <w:r>
        <w:t xml:space="preserve">If Tenderers find any discrepancy, error, or have any doubt as to the meaning or completeness of this ITT, or require clarification on any aspect of this ITT, they should notify the </w:t>
      </w:r>
      <w:r w:rsidRPr="00EB29A7">
        <w:rPr>
          <w:b/>
          <w:bCs/>
        </w:rPr>
        <w:t xml:space="preserve">AEMO </w:t>
      </w:r>
      <w:r w:rsidR="00EC08AF" w:rsidRPr="00EB29A7">
        <w:rPr>
          <w:b/>
          <w:bCs/>
        </w:rPr>
        <w:t>Contact</w:t>
      </w:r>
      <w:r w:rsidRPr="00EB29A7">
        <w:rPr>
          <w:b/>
          <w:bCs/>
        </w:rPr>
        <w:t xml:space="preserve"> in writing, not less than 7 days before the Closing Date</w:t>
      </w:r>
      <w:r>
        <w:t>. AEMO may issue an Addendum to all Tenderers clarifying the discrepancy, error, doubt, or query (as the case may be) and may extend the Closing Date if AEMO considers it appropriate in all the circumstances.</w:t>
      </w:r>
    </w:p>
    <w:p w14:paraId="3C48CAAA" w14:textId="77777777" w:rsidR="00614849" w:rsidRPr="00A86692" w:rsidRDefault="00614849" w:rsidP="00614849">
      <w:pPr>
        <w:pStyle w:val="BodyText"/>
      </w:pPr>
      <w:r>
        <w:t xml:space="preserve">No representation or explanation to Tenderers in relation to this ITT is taken to be included in the ITT unless it is contained in an Addendum. </w:t>
      </w:r>
    </w:p>
    <w:p w14:paraId="4FBD3DF8" w14:textId="6C7DE9B9" w:rsidR="008D2421" w:rsidRPr="00A86692" w:rsidRDefault="008D2421" w:rsidP="00B17D7D">
      <w:pPr>
        <w:pStyle w:val="ITTHeading2"/>
      </w:pPr>
      <w:r w:rsidRPr="00A86692">
        <w:lastRenderedPageBreak/>
        <w:t>Submitting a Tender</w:t>
      </w:r>
    </w:p>
    <w:p w14:paraId="7C5426D1" w14:textId="77777777" w:rsidR="00BD468D" w:rsidRDefault="00BD468D" w:rsidP="00BD468D">
      <w:pPr>
        <w:pStyle w:val="BodyText"/>
      </w:pPr>
      <w:r>
        <w:t xml:space="preserve">A Tender constitutes an offer by the Tenderer to provide the Services, which is capable of acceptance by AEMO in accordance with the ITT Rules.  </w:t>
      </w:r>
    </w:p>
    <w:p w14:paraId="29FF28F7" w14:textId="77777777" w:rsidR="008D2421" w:rsidRPr="00A86692" w:rsidRDefault="008D2421" w:rsidP="008D2421">
      <w:pPr>
        <w:pStyle w:val="BodyText"/>
      </w:pPr>
      <w:r w:rsidRPr="00A86692">
        <w:t>A Tender</w:t>
      </w:r>
      <w:r>
        <w:t xml:space="preserve"> for black start services </w:t>
      </w:r>
      <w:r w:rsidRPr="00A86692">
        <w:t>must meet the following requirements:</w:t>
      </w:r>
    </w:p>
    <w:p w14:paraId="185A2A99" w14:textId="7FAA553C" w:rsidR="00E500DE" w:rsidRPr="00E500DE" w:rsidRDefault="00E500DE" w:rsidP="0072709B">
      <w:pPr>
        <w:pStyle w:val="LRDP12"/>
        <w:numPr>
          <w:ilvl w:val="0"/>
          <w:numId w:val="18"/>
        </w:numPr>
        <w:ind w:left="1276" w:hanging="567"/>
        <w:rPr>
          <w:rFonts w:ascii="Arial Narrow" w:hAnsi="Arial Narrow"/>
        </w:rPr>
      </w:pPr>
      <w:r>
        <w:rPr>
          <w:rFonts w:ascii="Arial Narrow" w:hAnsi="Arial Narrow"/>
        </w:rPr>
        <w:t>a</w:t>
      </w:r>
      <w:r w:rsidRPr="00E500DE">
        <w:rPr>
          <w:rFonts w:ascii="Arial Narrow" w:hAnsi="Arial Narrow"/>
        </w:rPr>
        <w:t xml:space="preserve">ll applicable sections of the Tender must be completed in the form of </w:t>
      </w:r>
      <w:r w:rsidRPr="00B17D7D">
        <w:rPr>
          <w:rFonts w:ascii="Arial Narrow" w:hAnsi="Arial Narrow"/>
          <w:b/>
          <w:bCs/>
        </w:rPr>
        <w:t>Section C</w:t>
      </w:r>
      <w:r w:rsidR="00F12FBF">
        <w:rPr>
          <w:rFonts w:ascii="Arial Narrow" w:hAnsi="Arial Narrow"/>
          <w:b/>
          <w:bCs/>
        </w:rPr>
        <w:t xml:space="preserve"> </w:t>
      </w:r>
      <w:r w:rsidRPr="00B17D7D">
        <w:rPr>
          <w:rFonts w:ascii="Arial Narrow" w:hAnsi="Arial Narrow"/>
          <w:b/>
          <w:bCs/>
        </w:rPr>
        <w:t>(Tender Form)</w:t>
      </w:r>
      <w:r w:rsidRPr="00E500DE">
        <w:rPr>
          <w:rFonts w:ascii="Arial Narrow" w:hAnsi="Arial Narrow"/>
        </w:rPr>
        <w:t xml:space="preserve"> and all </w:t>
      </w:r>
      <w:r w:rsidR="00EC08AF">
        <w:rPr>
          <w:rFonts w:ascii="Arial Narrow" w:hAnsi="Arial Narrow"/>
        </w:rPr>
        <w:t xml:space="preserve">applicable </w:t>
      </w:r>
      <w:r w:rsidR="00803390">
        <w:rPr>
          <w:rFonts w:ascii="Arial Narrow" w:hAnsi="Arial Narrow"/>
        </w:rPr>
        <w:t>S</w:t>
      </w:r>
      <w:r w:rsidR="00803390" w:rsidRPr="00E500DE">
        <w:rPr>
          <w:rFonts w:ascii="Arial Narrow" w:hAnsi="Arial Narrow"/>
        </w:rPr>
        <w:t>chedules</w:t>
      </w:r>
      <w:r>
        <w:rPr>
          <w:rFonts w:ascii="Arial Narrow" w:hAnsi="Arial Narrow"/>
        </w:rPr>
        <w:t>;</w:t>
      </w:r>
    </w:p>
    <w:p w14:paraId="5620F7BD" w14:textId="4A7282F4" w:rsidR="00E500DE" w:rsidRPr="00E500DE" w:rsidRDefault="00E500DE" w:rsidP="0072709B">
      <w:pPr>
        <w:pStyle w:val="LRDP12"/>
        <w:numPr>
          <w:ilvl w:val="0"/>
          <w:numId w:val="18"/>
        </w:numPr>
        <w:ind w:left="1276" w:hanging="567"/>
        <w:rPr>
          <w:rFonts w:ascii="Arial Narrow" w:hAnsi="Arial Narrow"/>
        </w:rPr>
      </w:pPr>
      <w:r>
        <w:rPr>
          <w:rFonts w:ascii="Arial Narrow" w:hAnsi="Arial Narrow"/>
        </w:rPr>
        <w:t>i</w:t>
      </w:r>
      <w:r w:rsidRPr="00E500DE">
        <w:rPr>
          <w:rFonts w:ascii="Arial Narrow" w:hAnsi="Arial Narrow"/>
        </w:rPr>
        <w:t xml:space="preserve">f the </w:t>
      </w:r>
      <w:r w:rsidR="00803390">
        <w:rPr>
          <w:rFonts w:ascii="Arial Narrow" w:hAnsi="Arial Narrow"/>
        </w:rPr>
        <w:t>S</w:t>
      </w:r>
      <w:r w:rsidR="00803390" w:rsidRPr="00E500DE">
        <w:rPr>
          <w:rFonts w:ascii="Arial Narrow" w:hAnsi="Arial Narrow"/>
        </w:rPr>
        <w:t xml:space="preserve">chedules </w:t>
      </w:r>
      <w:r w:rsidRPr="00E500DE">
        <w:rPr>
          <w:rFonts w:ascii="Arial Narrow" w:hAnsi="Arial Narrow"/>
        </w:rPr>
        <w:t xml:space="preserve">specify that additional documentation or evidence is required, it must be attached </w:t>
      </w:r>
      <w:r>
        <w:rPr>
          <w:rFonts w:ascii="Arial Narrow" w:hAnsi="Arial Narrow"/>
        </w:rPr>
        <w:t>as specified;</w:t>
      </w:r>
    </w:p>
    <w:p w14:paraId="1B8391B5" w14:textId="42258DBE" w:rsidR="000D1E0A" w:rsidRPr="00B17D7D" w:rsidRDefault="000D1E0A" w:rsidP="0072709B">
      <w:pPr>
        <w:pStyle w:val="LRDP12"/>
        <w:numPr>
          <w:ilvl w:val="0"/>
          <w:numId w:val="18"/>
        </w:numPr>
        <w:ind w:left="1276" w:hanging="567"/>
        <w:rPr>
          <w:rFonts w:ascii="Arial Narrow" w:hAnsi="Arial Narrow"/>
          <w:lang w:eastAsia="en-AU"/>
        </w:rPr>
      </w:pPr>
      <w:r>
        <w:rPr>
          <w:rFonts w:ascii="Arial Narrow" w:hAnsi="Arial Narrow"/>
        </w:rPr>
        <w:t>t</w:t>
      </w:r>
      <w:r w:rsidRPr="00E500DE">
        <w:rPr>
          <w:rFonts w:ascii="Arial Narrow" w:hAnsi="Arial Narrow"/>
        </w:rPr>
        <w:t>he Tender must be dated and signed</w:t>
      </w:r>
      <w:r>
        <w:rPr>
          <w:rFonts w:ascii="Arial Narrow" w:hAnsi="Arial Narrow"/>
        </w:rPr>
        <w:t>, and</w:t>
      </w:r>
      <w:r w:rsidRPr="00E500DE">
        <w:rPr>
          <w:rFonts w:ascii="Arial Narrow" w:hAnsi="Arial Narrow"/>
        </w:rPr>
        <w:t xml:space="preserve"> </w:t>
      </w:r>
      <w:r w:rsidRPr="00B17D7D">
        <w:rPr>
          <w:rFonts w:ascii="Arial Narrow" w:hAnsi="Arial Narrow"/>
          <w:lang w:eastAsia="en-AU"/>
        </w:rPr>
        <w:t>the person submitting the Tender must be authorised to do so on behalf of the Tenderer; and</w:t>
      </w:r>
    </w:p>
    <w:p w14:paraId="54641079" w14:textId="2B1C663B" w:rsidR="00E500DE" w:rsidRPr="00E500DE" w:rsidRDefault="00E500DE" w:rsidP="0072709B">
      <w:pPr>
        <w:pStyle w:val="LRDP12"/>
        <w:numPr>
          <w:ilvl w:val="0"/>
          <w:numId w:val="18"/>
        </w:numPr>
        <w:ind w:left="1276" w:hanging="567"/>
        <w:rPr>
          <w:rFonts w:ascii="Arial Narrow" w:hAnsi="Arial Narrow"/>
        </w:rPr>
      </w:pPr>
      <w:r>
        <w:rPr>
          <w:rFonts w:ascii="Arial Narrow" w:hAnsi="Arial Narrow"/>
        </w:rPr>
        <w:t>a</w:t>
      </w:r>
      <w:r w:rsidRPr="00E500DE">
        <w:rPr>
          <w:rFonts w:ascii="Arial Narrow" w:hAnsi="Arial Narrow"/>
        </w:rPr>
        <w:t>ll pricing data as required in Schedule 3 to the Tender Form must be included with the Tender</w:t>
      </w:r>
      <w:r>
        <w:rPr>
          <w:rFonts w:ascii="Arial Narrow" w:hAnsi="Arial Narrow"/>
        </w:rPr>
        <w:t>;</w:t>
      </w:r>
    </w:p>
    <w:p w14:paraId="1DD8DADC" w14:textId="5CBD5C15" w:rsidR="00E500DE" w:rsidRPr="00E500DE" w:rsidRDefault="00E500DE" w:rsidP="0072709B">
      <w:pPr>
        <w:pStyle w:val="LRDP12"/>
        <w:numPr>
          <w:ilvl w:val="0"/>
          <w:numId w:val="18"/>
        </w:numPr>
        <w:ind w:left="1276" w:hanging="567"/>
        <w:rPr>
          <w:rFonts w:ascii="Arial Narrow" w:hAnsi="Arial Narrow"/>
        </w:rPr>
      </w:pPr>
      <w:r>
        <w:rPr>
          <w:rFonts w:ascii="Arial Narrow" w:hAnsi="Arial Narrow"/>
        </w:rPr>
        <w:t>a</w:t>
      </w:r>
      <w:r w:rsidRPr="00E500DE">
        <w:rPr>
          <w:rFonts w:ascii="Arial Narrow" w:hAnsi="Arial Narrow"/>
        </w:rPr>
        <w:t xml:space="preserve"> Tenderer must lodge a separate Tender Form for each Service offered. Services must be offered individually, not bundled</w:t>
      </w:r>
      <w:r>
        <w:rPr>
          <w:rFonts w:ascii="Arial Narrow" w:hAnsi="Arial Narrow"/>
        </w:rPr>
        <w:t>;</w:t>
      </w:r>
    </w:p>
    <w:p w14:paraId="13987FAC" w14:textId="159D096C" w:rsidR="00803390" w:rsidRPr="000D1E0A" w:rsidRDefault="00803390" w:rsidP="0072709B">
      <w:pPr>
        <w:pStyle w:val="LRDP12"/>
        <w:numPr>
          <w:ilvl w:val="0"/>
          <w:numId w:val="18"/>
        </w:numPr>
        <w:ind w:left="1276" w:hanging="567"/>
        <w:rPr>
          <w:rFonts w:ascii="Arial Narrow" w:hAnsi="Arial Narrow"/>
        </w:rPr>
      </w:pPr>
      <w:r w:rsidRPr="000D1E0A">
        <w:rPr>
          <w:rFonts w:ascii="Arial Narrow" w:hAnsi="Arial Narrow"/>
        </w:rPr>
        <w:t>additional documentation may be submitted with a Tender if, in the Tenderer’s opinion, it is necessary for a proper understanding of its Tender</w:t>
      </w:r>
      <w:r>
        <w:rPr>
          <w:rFonts w:ascii="Arial Narrow" w:hAnsi="Arial Narrow"/>
        </w:rPr>
        <w:t>;</w:t>
      </w:r>
      <w:r w:rsidR="000D1E0A">
        <w:rPr>
          <w:rFonts w:ascii="Arial Narrow" w:hAnsi="Arial Narrow"/>
        </w:rPr>
        <w:t xml:space="preserve"> and</w:t>
      </w:r>
    </w:p>
    <w:p w14:paraId="2350E8CA" w14:textId="5B8C368A" w:rsidR="00E500DE" w:rsidRPr="00E500DE" w:rsidRDefault="00E500DE" w:rsidP="0072709B">
      <w:pPr>
        <w:pStyle w:val="LRDP12"/>
        <w:numPr>
          <w:ilvl w:val="0"/>
          <w:numId w:val="18"/>
        </w:numPr>
        <w:ind w:left="1276" w:hanging="567"/>
        <w:rPr>
          <w:rFonts w:ascii="Arial Narrow" w:hAnsi="Arial Narrow"/>
        </w:rPr>
      </w:pPr>
      <w:r>
        <w:rPr>
          <w:rFonts w:ascii="Arial Narrow" w:hAnsi="Arial Narrow"/>
        </w:rPr>
        <w:t>i</w:t>
      </w:r>
      <w:r w:rsidRPr="00E500DE">
        <w:rPr>
          <w:rFonts w:ascii="Arial Narrow" w:hAnsi="Arial Narrow"/>
        </w:rPr>
        <w:t xml:space="preserve">f a Tenderer cannot comply with any requirement of the Tender Form or </w:t>
      </w:r>
      <w:r w:rsidR="00626D19">
        <w:rPr>
          <w:rFonts w:ascii="Arial Narrow" w:hAnsi="Arial Narrow"/>
        </w:rPr>
        <w:t>S</w:t>
      </w:r>
      <w:r w:rsidR="00626D19" w:rsidRPr="00E500DE">
        <w:rPr>
          <w:rFonts w:ascii="Arial Narrow" w:hAnsi="Arial Narrow"/>
        </w:rPr>
        <w:t>chedules</w:t>
      </w:r>
      <w:r w:rsidRPr="00E500DE">
        <w:rPr>
          <w:rFonts w:ascii="Arial Narrow" w:hAnsi="Arial Narrow"/>
        </w:rPr>
        <w:t xml:space="preserve">, </w:t>
      </w:r>
      <w:r w:rsidR="00626D19">
        <w:rPr>
          <w:rFonts w:ascii="Arial Narrow" w:hAnsi="Arial Narrow"/>
        </w:rPr>
        <w:t xml:space="preserve">this will not of itself exclude a Tenderer, but </w:t>
      </w:r>
      <w:r w:rsidRPr="00E500DE">
        <w:rPr>
          <w:rFonts w:ascii="Arial Narrow" w:hAnsi="Arial Narrow"/>
        </w:rPr>
        <w:t xml:space="preserve">the Tenderer must specify in the Statement of Compliance the nature of, and reasons for, the non-compliance. </w:t>
      </w:r>
    </w:p>
    <w:p w14:paraId="71FF5011" w14:textId="3E9CB60C" w:rsidR="00E500DE" w:rsidRPr="00D90478" w:rsidRDefault="00803390" w:rsidP="00E500DE">
      <w:pPr>
        <w:pStyle w:val="BodyText"/>
      </w:pPr>
      <w:r>
        <w:t>If a Tenderer is also submitting an</w:t>
      </w:r>
      <w:r w:rsidR="00E500DE" w:rsidRPr="00D90478">
        <w:t xml:space="preserve"> </w:t>
      </w:r>
      <w:r w:rsidR="00E500DE" w:rsidRPr="00E500DE">
        <w:t>expression of interest</w:t>
      </w:r>
      <w:r w:rsidR="00E500DE" w:rsidRPr="00D90478">
        <w:t xml:space="preserve"> for restoration support services</w:t>
      </w:r>
      <w:r>
        <w:t xml:space="preserve">, the Tenderer must lodge a </w:t>
      </w:r>
      <w:r w:rsidRPr="00096A0F">
        <w:t xml:space="preserve">separate </w:t>
      </w:r>
      <w:r>
        <w:t>S</w:t>
      </w:r>
      <w:r w:rsidRPr="00096A0F">
        <w:t>chedule 6 for each support service</w:t>
      </w:r>
      <w:r>
        <w:t xml:space="preserve"> </w:t>
      </w:r>
      <w:r w:rsidR="00EC08AF">
        <w:t>it is interested in providing</w:t>
      </w:r>
    </w:p>
    <w:p w14:paraId="5DAFD8EE" w14:textId="3A0F196D" w:rsidR="00E500DE" w:rsidRPr="0068610E" w:rsidRDefault="00E500DE" w:rsidP="00E500DE">
      <w:pPr>
        <w:pStyle w:val="ListBullet"/>
        <w:numPr>
          <w:ilvl w:val="0"/>
          <w:numId w:val="0"/>
        </w:numPr>
        <w:ind w:left="709"/>
      </w:pPr>
      <w:r>
        <w:t>A</w:t>
      </w:r>
      <w:r w:rsidRPr="0068610E">
        <w:t xml:space="preserve">ll Tenders from the same Tenderer </w:t>
      </w:r>
      <w:r>
        <w:t xml:space="preserve">must be submitted in separate electronic files in PDF format, with an unsigned but otherwise identical version in Microsoft Word format (and Excel where applicable).  Tenders must be electronically forwarded to </w:t>
      </w:r>
      <w:r w:rsidRPr="006611AB">
        <w:t>SRAS.procurement@aemo.com.au</w:t>
      </w:r>
      <w:r>
        <w:t xml:space="preserve"> (subject to file size limits</w:t>
      </w:r>
      <w:r>
        <w:rPr>
          <w:rStyle w:val="FootnoteReference"/>
        </w:rPr>
        <w:footnoteReference w:id="2"/>
      </w:r>
      <w:r>
        <w:t>)</w:t>
      </w:r>
      <w:r w:rsidR="00626D19">
        <w:t>.  Note</w:t>
      </w:r>
      <w:r w:rsidR="00EB45E8">
        <w:t xml:space="preserve"> </w:t>
      </w:r>
      <w:r>
        <w:t>multiple emails are acceptable.</w:t>
      </w:r>
    </w:p>
    <w:p w14:paraId="3E21F81B" w14:textId="77777777" w:rsidR="00E500DE" w:rsidRPr="0068610E" w:rsidRDefault="00E500DE" w:rsidP="00E500DE">
      <w:pPr>
        <w:pStyle w:val="ListBullet"/>
        <w:numPr>
          <w:ilvl w:val="0"/>
          <w:numId w:val="0"/>
        </w:numPr>
        <w:ind w:left="993" w:hanging="284"/>
      </w:pPr>
      <w:r w:rsidRPr="0068610E">
        <w:t>The Tender must remain open for acceptance by AEMO for at least the Validity Period.</w:t>
      </w:r>
    </w:p>
    <w:p w14:paraId="54D45474" w14:textId="742DF25B" w:rsidR="00E500DE" w:rsidRDefault="00BD468D" w:rsidP="00E500DE">
      <w:pPr>
        <w:pStyle w:val="BodyText"/>
      </w:pPr>
      <w:r w:rsidRPr="004D197F">
        <w:rPr>
          <w:lang w:eastAsia="en-AU"/>
        </w:rPr>
        <w:t xml:space="preserve">AEMO may, at its absolute discretion, </w:t>
      </w:r>
      <w:r w:rsidR="00626D19">
        <w:rPr>
          <w:lang w:eastAsia="en-AU"/>
        </w:rPr>
        <w:t xml:space="preserve">review and evaluate, or </w:t>
      </w:r>
      <w:r w:rsidRPr="004D197F">
        <w:rPr>
          <w:lang w:eastAsia="en-AU"/>
        </w:rPr>
        <w:t>accept</w:t>
      </w:r>
      <w:r w:rsidR="00626D19">
        <w:rPr>
          <w:lang w:eastAsia="en-AU"/>
        </w:rPr>
        <w:t>,</w:t>
      </w:r>
      <w:r w:rsidRPr="004D197F">
        <w:rPr>
          <w:lang w:eastAsia="en-AU"/>
        </w:rPr>
        <w:t xml:space="preserve"> or exclude late or non-conforming </w:t>
      </w:r>
      <w:r>
        <w:rPr>
          <w:lang w:eastAsia="en-AU"/>
        </w:rPr>
        <w:t>Tender</w:t>
      </w:r>
      <w:r w:rsidRPr="004D197F">
        <w:rPr>
          <w:lang w:eastAsia="en-AU"/>
        </w:rPr>
        <w:t>s.</w:t>
      </w:r>
    </w:p>
    <w:p w14:paraId="045F3241" w14:textId="77777777" w:rsidR="0035710F" w:rsidRPr="00880E07" w:rsidRDefault="0035710F" w:rsidP="0035710F">
      <w:pPr>
        <w:pStyle w:val="ITTHeading2"/>
      </w:pPr>
      <w:r w:rsidRPr="00880E07">
        <w:t>Price</w:t>
      </w:r>
    </w:p>
    <w:p w14:paraId="5317A3A1" w14:textId="77777777" w:rsidR="0035710F" w:rsidRPr="00B41EE7" w:rsidRDefault="0035710F" w:rsidP="0035710F">
      <w:pPr>
        <w:pStyle w:val="BodyText"/>
      </w:pPr>
      <w:r w:rsidRPr="00B41EE7">
        <w:t xml:space="preserve">All prices must be submitted </w:t>
      </w:r>
      <w:r>
        <w:t xml:space="preserve">in Australian dollars </w:t>
      </w:r>
      <w:r w:rsidRPr="00B41EE7">
        <w:t xml:space="preserve">exclusive of GST. Tenderers will be aware that, as part of </w:t>
      </w:r>
      <w:r w:rsidRPr="005767F0">
        <w:t>AEMO</w:t>
      </w:r>
      <w:r w:rsidRPr="00CF2253">
        <w:rPr>
          <w:i/>
          <w:szCs w:val="20"/>
        </w:rPr>
        <w:t>’s</w:t>
      </w:r>
      <w:r w:rsidRPr="005767F0">
        <w:t xml:space="preserve"> </w:t>
      </w:r>
      <w:r w:rsidRPr="00B41EE7">
        <w:rPr>
          <w:i/>
        </w:rPr>
        <w:t>settlements</w:t>
      </w:r>
      <w:r w:rsidRPr="00B41EE7">
        <w:t xml:space="preserve"> process, charges will be grossed up for GST in accordance with </w:t>
      </w:r>
      <w:r>
        <w:t xml:space="preserve">clause </w:t>
      </w:r>
      <w:r w:rsidRPr="00B41EE7">
        <w:t>3.15.10A</w:t>
      </w:r>
      <w:r>
        <w:t xml:space="preserve"> of the NER</w:t>
      </w:r>
      <w:r w:rsidRPr="00B41EE7">
        <w:t>.</w:t>
      </w:r>
    </w:p>
    <w:p w14:paraId="4CED4449" w14:textId="77777777" w:rsidR="0035710F" w:rsidRPr="00B41EE7" w:rsidRDefault="0035710F" w:rsidP="0035710F">
      <w:pPr>
        <w:pStyle w:val="BodyText"/>
      </w:pPr>
      <w:r w:rsidRPr="00B41EE7">
        <w:t>Tenderers must structure the price payable for the Service as follows:</w:t>
      </w:r>
    </w:p>
    <w:p w14:paraId="45617478" w14:textId="77777777" w:rsidR="0035710F" w:rsidRPr="0035710F" w:rsidRDefault="0035710F" w:rsidP="0072709B">
      <w:pPr>
        <w:pStyle w:val="LRDP12"/>
        <w:numPr>
          <w:ilvl w:val="0"/>
          <w:numId w:val="21"/>
        </w:numPr>
        <w:ind w:left="1276" w:hanging="567"/>
        <w:rPr>
          <w:rFonts w:ascii="Arial Narrow" w:hAnsi="Arial Narrow"/>
        </w:rPr>
      </w:pPr>
      <w:r w:rsidRPr="0035710F">
        <w:rPr>
          <w:rFonts w:ascii="Arial Narrow" w:hAnsi="Arial Narrow"/>
          <w:b/>
          <w:bCs/>
        </w:rPr>
        <w:t>Availability charge</w:t>
      </w:r>
    </w:p>
    <w:p w14:paraId="46BDF22A" w14:textId="77777777" w:rsidR="0035710F" w:rsidRPr="00B41EE7" w:rsidRDefault="0035710F" w:rsidP="0035710F">
      <w:pPr>
        <w:pStyle w:val="BodyText"/>
        <w:ind w:left="1276"/>
      </w:pPr>
      <w:r w:rsidRPr="00B41EE7">
        <w:lastRenderedPageBreak/>
        <w:t xml:space="preserve">The availability </w:t>
      </w:r>
      <w:r>
        <w:t>charge</w:t>
      </w:r>
      <w:r w:rsidRPr="00B41EE7">
        <w:t xml:space="preserve"> is payable when the </w:t>
      </w:r>
      <w:r w:rsidRPr="00B41EE7">
        <w:rPr>
          <w:i/>
        </w:rPr>
        <w:t>SRAS</w:t>
      </w:r>
      <w:r w:rsidRPr="00B41EE7">
        <w:t xml:space="preserve"> is available to </w:t>
      </w:r>
      <w:r w:rsidRPr="005767F0" w:rsidDel="005767F0">
        <w:t>AEMO</w:t>
      </w:r>
      <w:r w:rsidRPr="00B41EE7">
        <w:t xml:space="preserve"> on the terms set out in the agreement governing the provision of </w:t>
      </w:r>
      <w:r w:rsidRPr="00B41EE7">
        <w:rPr>
          <w:i/>
        </w:rPr>
        <w:t>SRAS</w:t>
      </w:r>
      <w:r w:rsidRPr="00B41EE7">
        <w:t>.</w:t>
      </w:r>
      <w:r>
        <w:t xml:space="preserve"> </w:t>
      </w:r>
      <w:r w:rsidRPr="005767F0" w:rsidDel="005767F0">
        <w:t>AEMO</w:t>
      </w:r>
      <w:r w:rsidRPr="00B41EE7">
        <w:t xml:space="preserve"> will pay an availability charge for each </w:t>
      </w:r>
      <w:r>
        <w:t xml:space="preserve">30-minute period </w:t>
      </w:r>
      <w:r w:rsidRPr="00B41EE7">
        <w:t xml:space="preserve">during which the </w:t>
      </w:r>
      <w:r w:rsidRPr="00B41EE7">
        <w:rPr>
          <w:i/>
        </w:rPr>
        <w:t>SRAS</w:t>
      </w:r>
      <w:r w:rsidRPr="00B41EE7">
        <w:t xml:space="preserve"> is available</w:t>
      </w:r>
      <w:r>
        <w:t>, as defined in the SRAS Agreement</w:t>
      </w:r>
      <w:r w:rsidRPr="00B41EE7">
        <w:t>.</w:t>
      </w:r>
    </w:p>
    <w:p w14:paraId="0000158B" w14:textId="77777777" w:rsidR="0035710F" w:rsidRPr="00B41EE7" w:rsidRDefault="0035710F" w:rsidP="0035710F">
      <w:pPr>
        <w:pStyle w:val="BodyText"/>
        <w:ind w:left="1276"/>
      </w:pPr>
      <w:r w:rsidRPr="00B41EE7">
        <w:t>The Tenderer must nominate</w:t>
      </w:r>
      <w:r>
        <w:t>,</w:t>
      </w:r>
      <w:r w:rsidRPr="00B41EE7">
        <w:t xml:space="preserve"> in </w:t>
      </w:r>
      <w:r w:rsidRPr="00E77E7B">
        <w:t>Schedule 3</w:t>
      </w:r>
      <w:r w:rsidRPr="00B41EE7">
        <w:t xml:space="preserve"> </w:t>
      </w:r>
      <w:r>
        <w:t xml:space="preserve">of the Tender Form, </w:t>
      </w:r>
      <w:r w:rsidRPr="00B41EE7">
        <w:t xml:space="preserve">the Tenderer’s availability </w:t>
      </w:r>
      <w:r>
        <w:t>charge</w:t>
      </w:r>
      <w:r w:rsidRPr="00B41EE7">
        <w:t xml:space="preserve"> on a </w:t>
      </w:r>
      <w:r>
        <w:t>30-minute</w:t>
      </w:r>
      <w:r w:rsidRPr="00B41EE7">
        <w:t xml:space="preserve"> basis.</w:t>
      </w:r>
    </w:p>
    <w:p w14:paraId="1E4738A2" w14:textId="7E4180C2" w:rsidR="0035710F" w:rsidRPr="0035710F" w:rsidRDefault="0035710F" w:rsidP="0072709B">
      <w:pPr>
        <w:pStyle w:val="LRDP12"/>
        <w:numPr>
          <w:ilvl w:val="0"/>
          <w:numId w:val="21"/>
        </w:numPr>
        <w:ind w:left="1276" w:hanging="567"/>
        <w:rPr>
          <w:rFonts w:ascii="Arial Narrow" w:hAnsi="Arial Narrow"/>
          <w:szCs w:val="22"/>
          <w:lang w:val="en-AU" w:eastAsia="en-US"/>
        </w:rPr>
      </w:pPr>
      <w:r w:rsidRPr="0035710F">
        <w:rPr>
          <w:rFonts w:ascii="Arial Narrow" w:hAnsi="Arial Narrow"/>
          <w:b/>
          <w:bCs/>
        </w:rPr>
        <w:t>Usage charge</w:t>
      </w:r>
    </w:p>
    <w:p w14:paraId="2D546F1A" w14:textId="77777777" w:rsidR="0035710F" w:rsidRPr="00B41EE7" w:rsidRDefault="0035710F" w:rsidP="00803390">
      <w:pPr>
        <w:pStyle w:val="BodyText"/>
        <w:ind w:left="1276"/>
      </w:pPr>
      <w:r w:rsidRPr="00B41EE7">
        <w:t>The Tenderer must nominate</w:t>
      </w:r>
      <w:r>
        <w:t>,</w:t>
      </w:r>
      <w:r w:rsidRPr="00B41EE7">
        <w:t xml:space="preserve"> in </w:t>
      </w:r>
      <w:r w:rsidRPr="00E77E7B">
        <w:t>Schedule 3</w:t>
      </w:r>
      <w:r w:rsidRPr="00B41EE7">
        <w:t xml:space="preserve"> </w:t>
      </w:r>
      <w:r>
        <w:t xml:space="preserve">of the Tender Form, </w:t>
      </w:r>
      <w:r w:rsidRPr="00B41EE7">
        <w:t>the value of the usage charge on a per Event basis.</w:t>
      </w:r>
      <w:r>
        <w:t xml:space="preserve"> </w:t>
      </w:r>
      <w:r w:rsidRPr="00B41EE7">
        <w:t xml:space="preserve">The Tenderer should note that </w:t>
      </w:r>
      <w:r w:rsidRPr="005767F0" w:rsidDel="005767F0">
        <w:t>AEMO</w:t>
      </w:r>
      <w:r w:rsidRPr="00B41EE7">
        <w:t xml:space="preserve"> will pay only one usage charge in any 24-hour period. </w:t>
      </w:r>
    </w:p>
    <w:p w14:paraId="1B370E51" w14:textId="77777777" w:rsidR="0035710F" w:rsidRPr="00803390" w:rsidRDefault="0035710F" w:rsidP="0072709B">
      <w:pPr>
        <w:pStyle w:val="LRDP12"/>
        <w:numPr>
          <w:ilvl w:val="0"/>
          <w:numId w:val="21"/>
        </w:numPr>
        <w:ind w:left="1276" w:hanging="567"/>
        <w:rPr>
          <w:rFonts w:ascii="Arial Narrow" w:hAnsi="Arial Narrow"/>
        </w:rPr>
      </w:pPr>
      <w:r w:rsidRPr="0035710F">
        <w:rPr>
          <w:rFonts w:ascii="Arial Narrow" w:hAnsi="Arial Narrow"/>
          <w:b/>
          <w:bCs/>
        </w:rPr>
        <w:t>Testing charge</w:t>
      </w:r>
    </w:p>
    <w:p w14:paraId="2A2CF30C" w14:textId="77777777" w:rsidR="0035710F" w:rsidRPr="00394555" w:rsidRDefault="0035710F" w:rsidP="00803390">
      <w:pPr>
        <w:pStyle w:val="BodyText"/>
        <w:ind w:left="1276"/>
      </w:pPr>
      <w:r w:rsidRPr="00394555">
        <w:t xml:space="preserve">The Tenderer must nominate, in Schedule 3 of the Tender Form, the amount of the testing charge on a per test basis. For tender purposes, assume that up to two SRAS Tests will be conducted annually, on the conditions set out in the SRAS Guideline. Note that post maintenance tests will not be required until the contract has commenced. </w:t>
      </w:r>
    </w:p>
    <w:p w14:paraId="1974E0FD" w14:textId="77777777" w:rsidR="0035710F" w:rsidRPr="00803390" w:rsidRDefault="0035710F" w:rsidP="0072709B">
      <w:pPr>
        <w:pStyle w:val="LRDP12"/>
        <w:numPr>
          <w:ilvl w:val="0"/>
          <w:numId w:val="21"/>
        </w:numPr>
        <w:ind w:left="1276" w:hanging="567"/>
        <w:rPr>
          <w:rFonts w:ascii="Arial Narrow" w:hAnsi="Arial Narrow"/>
        </w:rPr>
      </w:pPr>
      <w:r w:rsidRPr="00803390">
        <w:rPr>
          <w:rFonts w:ascii="Arial Narrow" w:hAnsi="Arial Narrow"/>
          <w:b/>
          <w:bCs/>
        </w:rPr>
        <w:t xml:space="preserve">Variations based on contract duration </w:t>
      </w:r>
    </w:p>
    <w:p w14:paraId="33E80448" w14:textId="7FEB46E1" w:rsidR="0035710F" w:rsidRPr="00096A0F" w:rsidRDefault="0035710F" w:rsidP="00E72371">
      <w:pPr>
        <w:pStyle w:val="BodyText"/>
        <w:ind w:left="1276"/>
      </w:pPr>
      <w:r w:rsidRPr="00394555">
        <w:t>The Tenderer should provide</w:t>
      </w:r>
      <w:r>
        <w:t xml:space="preserve"> the preferred contract start date </w:t>
      </w:r>
      <w:r w:rsidR="00803390">
        <w:t xml:space="preserve">for </w:t>
      </w:r>
      <w:r>
        <w:t xml:space="preserve">either or both </w:t>
      </w:r>
      <w:r w:rsidR="00803390">
        <w:t xml:space="preserve">of </w:t>
      </w:r>
      <w:r>
        <w:t>1 July 2024 and</w:t>
      </w:r>
      <w:r w:rsidR="00803390">
        <w:t>/or</w:t>
      </w:r>
      <w:r>
        <w:t xml:space="preserve"> 1 July 2025</w:t>
      </w:r>
      <w:r w:rsidR="00803390">
        <w:t>.  A</w:t>
      </w:r>
      <w:r>
        <w:t>dditionally</w:t>
      </w:r>
      <w:r w:rsidR="00803390">
        <w:t>, Tenderers must provide</w:t>
      </w:r>
      <w:r w:rsidRPr="00394555">
        <w:t xml:space="preserve"> at least one set of prices for a base contract duration of three years</w:t>
      </w:r>
      <w:r w:rsidRPr="00096A0F">
        <w:t xml:space="preserve"> </w:t>
      </w:r>
      <w:r w:rsidRPr="00096A0F">
        <w:rPr>
          <w:u w:val="single"/>
        </w:rPr>
        <w:t>and</w:t>
      </w:r>
      <w:r w:rsidR="00E72371">
        <w:rPr>
          <w:u w:val="single"/>
        </w:rPr>
        <w:t>/or</w:t>
      </w:r>
      <w:r w:rsidRPr="00096A0F">
        <w:rPr>
          <w:u w:val="single"/>
        </w:rPr>
        <w:t xml:space="preserve"> five years, </w:t>
      </w:r>
      <w:r w:rsidRPr="00394555">
        <w:t xml:space="preserve">with potential extensions as described in the form of SRAS Agreement. </w:t>
      </w:r>
    </w:p>
    <w:p w14:paraId="05702833" w14:textId="77777777" w:rsidR="00CE6FA3" w:rsidRPr="00A86692" w:rsidRDefault="00CE6FA3" w:rsidP="00CE6FA3">
      <w:pPr>
        <w:pStyle w:val="ITTHeading2"/>
      </w:pPr>
      <w:r>
        <w:t>SRAS Agreement</w:t>
      </w:r>
    </w:p>
    <w:p w14:paraId="3AC2DF8E" w14:textId="77777777" w:rsidR="00CE6FA3" w:rsidRPr="00A86692" w:rsidRDefault="00CE6FA3" w:rsidP="00CE6FA3">
      <w:pPr>
        <w:pStyle w:val="BodyText"/>
      </w:pPr>
      <w:r w:rsidRPr="00A86692">
        <w:t>AEMO</w:t>
      </w:r>
      <w:r>
        <w:t xml:space="preserve">’ proposed form of contract for the Services is set out </w:t>
      </w:r>
      <w:r w:rsidRPr="00A86692">
        <w:t>in</w:t>
      </w:r>
      <w:r>
        <w:t xml:space="preserve"> Schedule 5 (Proposed SRAS Agreement) to this ITT</w:t>
      </w:r>
    </w:p>
    <w:p w14:paraId="610718CF" w14:textId="169508E5" w:rsidR="00CE6FA3" w:rsidRPr="00A86692" w:rsidRDefault="00CE6FA3" w:rsidP="00CE6FA3">
      <w:pPr>
        <w:pStyle w:val="BodyText"/>
      </w:pPr>
      <w:r>
        <w:t xml:space="preserve">Unless specifically requested in this ITT for one or more Services, </w:t>
      </w:r>
      <w:r w:rsidRPr="00282FFE">
        <w:t>Tenderers should not include their own standard or general conditions of contract with their Tenders.</w:t>
      </w:r>
      <w:r>
        <w:t xml:space="preserve"> </w:t>
      </w:r>
      <w:r w:rsidRPr="00A86692">
        <w:t xml:space="preserve">Tenderers who wish to </w:t>
      </w:r>
      <w:r>
        <w:t>seek</w:t>
      </w:r>
      <w:r w:rsidRPr="00A86692">
        <w:t xml:space="preserve"> change</w:t>
      </w:r>
      <w:r>
        <w:t>s</w:t>
      </w:r>
      <w:r w:rsidRPr="00A86692">
        <w:t xml:space="preserve"> to the proposed </w:t>
      </w:r>
      <w:r>
        <w:t xml:space="preserve">form of </w:t>
      </w:r>
      <w:r w:rsidRPr="00A86692">
        <w:t xml:space="preserve">contract should provide a copy of the document showing the </w:t>
      </w:r>
      <w:r>
        <w:t xml:space="preserve">exact form of the requested change, tracked </w:t>
      </w:r>
      <w:r w:rsidRPr="00A86692">
        <w:t xml:space="preserve">in Microsoft Word.  </w:t>
      </w:r>
    </w:p>
    <w:p w14:paraId="684FAF50" w14:textId="77777777" w:rsidR="00CE6FA3" w:rsidRPr="00A86692" w:rsidRDefault="00CE6FA3" w:rsidP="00CE6FA3">
      <w:pPr>
        <w:pStyle w:val="BodyText"/>
      </w:pPr>
      <w:r w:rsidRPr="00A86692">
        <w:t>Tenderers will be taken to have accepted the c</w:t>
      </w:r>
      <w:r>
        <w:t xml:space="preserve">ontract in its current form in set out </w:t>
      </w:r>
      <w:r w:rsidRPr="00A86692">
        <w:t>in</w:t>
      </w:r>
      <w:r>
        <w:t xml:space="preserve"> Schedule 5 (Proposed SRAS Agreement) unless they include </w:t>
      </w:r>
      <w:r w:rsidRPr="00A86692">
        <w:t xml:space="preserve">a </w:t>
      </w:r>
      <w:r>
        <w:t xml:space="preserve">tracked </w:t>
      </w:r>
      <w:r w:rsidRPr="00A86692">
        <w:t>copy of the contract marked in this way.</w:t>
      </w:r>
    </w:p>
    <w:p w14:paraId="54058267" w14:textId="77777777" w:rsidR="00CE6FA3" w:rsidRPr="00A86692" w:rsidRDefault="00CE6FA3" w:rsidP="00CE6FA3">
      <w:pPr>
        <w:pStyle w:val="BodyText"/>
      </w:pPr>
      <w:r>
        <w:t xml:space="preserve">AEMO has the right to offer to enter into an SRAS Agreement on amended terms if AEMO considers it necessary or appropriate in the circumstances. </w:t>
      </w:r>
    </w:p>
    <w:p w14:paraId="72688A4C" w14:textId="77777777" w:rsidR="00CE6FA3" w:rsidRPr="00A86692" w:rsidRDefault="00CE6FA3" w:rsidP="00CE6FA3">
      <w:pPr>
        <w:pStyle w:val="BodyText"/>
      </w:pPr>
      <w:r w:rsidRPr="00351F0D">
        <w:t xml:space="preserve">AEMO requires the terms of the </w:t>
      </w:r>
      <w:r>
        <w:t>SRAS Agreement</w:t>
      </w:r>
      <w:r w:rsidRPr="00351F0D">
        <w:t xml:space="preserve"> to be </w:t>
      </w:r>
      <w:r>
        <w:t>agreed</w:t>
      </w:r>
      <w:r w:rsidRPr="00351F0D">
        <w:t xml:space="preserve"> and the document signed by the Tenderer within </w:t>
      </w:r>
      <w:r>
        <w:t xml:space="preserve">a reasonable period after </w:t>
      </w:r>
      <w:r w:rsidRPr="005767F0">
        <w:t>AEMO</w:t>
      </w:r>
      <w:r>
        <w:t xml:space="preserve"> notifies its acceptance of the Tender. </w:t>
      </w:r>
      <w:r w:rsidRPr="005767F0" w:rsidDel="005767F0">
        <w:t>AEMO</w:t>
      </w:r>
      <w:r w:rsidRPr="00351F0D">
        <w:t xml:space="preserve"> reserves the right to reconsider </w:t>
      </w:r>
      <w:r>
        <w:t xml:space="preserve">other </w:t>
      </w:r>
      <w:r w:rsidRPr="00351F0D">
        <w:t>Tenders</w:t>
      </w:r>
      <w:r>
        <w:t xml:space="preserve"> not previously selected</w:t>
      </w:r>
      <w:r w:rsidRPr="00351F0D">
        <w:t xml:space="preserve"> if the</w:t>
      </w:r>
      <w:r>
        <w:t xml:space="preserve"> SRAS Agreement </w:t>
      </w:r>
      <w:r w:rsidRPr="00351F0D">
        <w:t xml:space="preserve">is not </w:t>
      </w:r>
      <w:r>
        <w:t>signed by the Tenderer within a reasonable negotiation period</w:t>
      </w:r>
      <w:r w:rsidRPr="00351F0D">
        <w:t>.</w:t>
      </w:r>
    </w:p>
    <w:p w14:paraId="4C83BB12" w14:textId="3932A253" w:rsidR="00BD468D" w:rsidRPr="004D197F" w:rsidRDefault="00BD468D" w:rsidP="00BD468D">
      <w:pPr>
        <w:pStyle w:val="ITTHeading2"/>
        <w:ind w:left="709" w:hanging="709"/>
      </w:pPr>
      <w:r>
        <w:t>Tenderer</w:t>
      </w:r>
      <w:r w:rsidRPr="004D197F">
        <w:t>s to perform own due diligence</w:t>
      </w:r>
    </w:p>
    <w:p w14:paraId="74AC73BC" w14:textId="77777777" w:rsidR="00BD468D" w:rsidRPr="007A0EA9" w:rsidRDefault="00BD468D" w:rsidP="00BD468D">
      <w:pPr>
        <w:pStyle w:val="BodyText"/>
        <w:rPr>
          <w:lang w:eastAsia="en-AU"/>
        </w:rPr>
      </w:pPr>
      <w:r w:rsidRPr="007A0EA9">
        <w:rPr>
          <w:lang w:eastAsia="en-AU"/>
        </w:rPr>
        <w:t xml:space="preserve">By submitting a </w:t>
      </w:r>
      <w:r>
        <w:rPr>
          <w:lang w:eastAsia="en-AU"/>
        </w:rPr>
        <w:t>Tender</w:t>
      </w:r>
      <w:r w:rsidRPr="007A0EA9">
        <w:rPr>
          <w:lang w:eastAsia="en-AU"/>
        </w:rPr>
        <w:t xml:space="preserve">, a </w:t>
      </w:r>
      <w:r>
        <w:rPr>
          <w:lang w:eastAsia="en-AU"/>
        </w:rPr>
        <w:t>Tenderer</w:t>
      </w:r>
      <w:r w:rsidRPr="007A0EA9">
        <w:rPr>
          <w:lang w:eastAsia="en-AU"/>
        </w:rPr>
        <w:t xml:space="preserve"> is taken to have:</w:t>
      </w:r>
    </w:p>
    <w:p w14:paraId="16E0EE1B" w14:textId="30CADD3C" w:rsidR="00BD468D" w:rsidRPr="00803390" w:rsidRDefault="00BD468D" w:rsidP="0072709B">
      <w:pPr>
        <w:pStyle w:val="LRDP12"/>
        <w:numPr>
          <w:ilvl w:val="0"/>
          <w:numId w:val="19"/>
        </w:numPr>
        <w:ind w:left="1276" w:hanging="567"/>
        <w:rPr>
          <w:rFonts w:ascii="Arial Narrow" w:hAnsi="Arial Narrow"/>
        </w:rPr>
      </w:pPr>
      <w:r>
        <w:rPr>
          <w:rFonts w:ascii="Arial Narrow" w:hAnsi="Arial Narrow"/>
        </w:rPr>
        <w:t>r</w:t>
      </w:r>
      <w:r w:rsidRPr="00803390">
        <w:rPr>
          <w:rFonts w:ascii="Arial Narrow" w:hAnsi="Arial Narrow"/>
        </w:rPr>
        <w:t>ead, understood and satisfied itself of the requirements of this ITT;</w:t>
      </w:r>
    </w:p>
    <w:p w14:paraId="382A3841" w14:textId="77777777" w:rsidR="00BD468D" w:rsidRPr="00BD468D" w:rsidRDefault="00BD468D" w:rsidP="0072709B">
      <w:pPr>
        <w:pStyle w:val="LRDP12"/>
        <w:numPr>
          <w:ilvl w:val="0"/>
          <w:numId w:val="19"/>
        </w:numPr>
        <w:ind w:left="1276" w:hanging="567"/>
        <w:rPr>
          <w:rFonts w:ascii="Arial Narrow" w:hAnsi="Arial Narrow"/>
        </w:rPr>
      </w:pPr>
      <w:r w:rsidRPr="00BD468D">
        <w:rPr>
          <w:rFonts w:ascii="Arial Narrow" w:hAnsi="Arial Narrow"/>
        </w:rPr>
        <w:t xml:space="preserve">familiarised itself with the most recent SRAS Guideline, including the required technical capabilities and testing requirements for proposed SRAS; </w:t>
      </w:r>
    </w:p>
    <w:p w14:paraId="4E1B508F" w14:textId="66D6CEE8" w:rsidR="00BD468D" w:rsidRPr="00803390" w:rsidRDefault="00BD468D" w:rsidP="0072709B">
      <w:pPr>
        <w:pStyle w:val="LRDP12"/>
        <w:numPr>
          <w:ilvl w:val="0"/>
          <w:numId w:val="19"/>
        </w:numPr>
        <w:ind w:left="1276" w:hanging="567"/>
        <w:rPr>
          <w:rFonts w:ascii="Arial Narrow" w:hAnsi="Arial Narrow"/>
        </w:rPr>
      </w:pPr>
      <w:r w:rsidRPr="00803390">
        <w:rPr>
          <w:rFonts w:ascii="Arial Narrow" w:hAnsi="Arial Narrow"/>
        </w:rPr>
        <w:lastRenderedPageBreak/>
        <w:t>made all reasonable enquiries, investigations and assessments</w:t>
      </w:r>
      <w:r w:rsidR="0035710F">
        <w:rPr>
          <w:rFonts w:ascii="Arial Narrow" w:hAnsi="Arial Narrow"/>
        </w:rPr>
        <w:t xml:space="preserve"> of, and examined all information </w:t>
      </w:r>
      <w:r w:rsidRPr="00803390">
        <w:rPr>
          <w:rFonts w:ascii="Arial Narrow" w:hAnsi="Arial Narrow"/>
        </w:rPr>
        <w:t xml:space="preserve"> relevant to</w:t>
      </w:r>
      <w:r w:rsidR="0035710F">
        <w:rPr>
          <w:rFonts w:ascii="Arial Narrow" w:hAnsi="Arial Narrow"/>
        </w:rPr>
        <w:t>,</w:t>
      </w:r>
      <w:r w:rsidRPr="00803390">
        <w:rPr>
          <w:rFonts w:ascii="Arial Narrow" w:hAnsi="Arial Narrow"/>
        </w:rPr>
        <w:t xml:space="preserve"> the risks, contingencies, costs, procedures and other circumstances relating to the Services; and</w:t>
      </w:r>
    </w:p>
    <w:p w14:paraId="72D7AFD3" w14:textId="77777777" w:rsidR="0035710F" w:rsidRDefault="00BD468D" w:rsidP="0072709B">
      <w:pPr>
        <w:pStyle w:val="LRDP12"/>
        <w:numPr>
          <w:ilvl w:val="0"/>
          <w:numId w:val="19"/>
        </w:numPr>
        <w:ind w:left="1276" w:hanging="567"/>
        <w:rPr>
          <w:rFonts w:ascii="Arial Narrow" w:hAnsi="Arial Narrow"/>
        </w:rPr>
      </w:pPr>
      <w:r w:rsidRPr="00803390">
        <w:rPr>
          <w:rFonts w:ascii="Arial Narrow" w:hAnsi="Arial Narrow"/>
        </w:rPr>
        <w:t>satisfied itself as to the correctness and sufficiency of its Tender</w:t>
      </w:r>
    </w:p>
    <w:p w14:paraId="409F8C3D" w14:textId="77777777" w:rsidR="0035710F" w:rsidRDefault="0035710F" w:rsidP="0072709B">
      <w:pPr>
        <w:pStyle w:val="LRDP12"/>
        <w:numPr>
          <w:ilvl w:val="0"/>
          <w:numId w:val="19"/>
        </w:numPr>
        <w:ind w:left="1276" w:hanging="567"/>
        <w:rPr>
          <w:rFonts w:ascii="Arial Narrow" w:hAnsi="Arial Narrow"/>
        </w:rPr>
      </w:pPr>
      <w:r w:rsidRPr="0035710F">
        <w:rPr>
          <w:rFonts w:ascii="Arial Narrow" w:hAnsi="Arial Narrow"/>
        </w:rPr>
        <w:t>sought its own legal and commercial advice on the contractual arrangements relating to the provision of the Services, including any tax and stamp duty implications</w:t>
      </w:r>
      <w:r>
        <w:rPr>
          <w:rFonts w:ascii="Arial Narrow" w:hAnsi="Arial Narrow"/>
        </w:rPr>
        <w:t>; and</w:t>
      </w:r>
    </w:p>
    <w:p w14:paraId="08EE541F" w14:textId="3E5068CA" w:rsidR="00BD468D" w:rsidRPr="00803390" w:rsidRDefault="0035710F" w:rsidP="0072709B">
      <w:pPr>
        <w:pStyle w:val="LRDP12"/>
        <w:numPr>
          <w:ilvl w:val="0"/>
          <w:numId w:val="19"/>
        </w:numPr>
        <w:ind w:left="1276" w:hanging="567"/>
        <w:rPr>
          <w:rFonts w:ascii="Arial Narrow" w:hAnsi="Arial Narrow"/>
        </w:rPr>
      </w:pPr>
      <w:r w:rsidRPr="0035710F">
        <w:rPr>
          <w:rFonts w:ascii="Arial Narrow" w:hAnsi="Arial Narrow"/>
        </w:rPr>
        <w:t>informed itself of all matters and things necessary for the proper performance of any resulting contract to the extent that no charge in excess of, or in addition to, the prices tendered will be claimed from AEMO</w:t>
      </w:r>
      <w:r>
        <w:rPr>
          <w:rFonts w:ascii="Arial Narrow" w:hAnsi="Arial Narrow"/>
        </w:rPr>
        <w:t>;</w:t>
      </w:r>
    </w:p>
    <w:p w14:paraId="3A1DD864" w14:textId="77777777" w:rsidR="00BD468D" w:rsidRDefault="00BD468D" w:rsidP="00803390">
      <w:pPr>
        <w:pStyle w:val="BodyText"/>
        <w:rPr>
          <w:lang w:eastAsia="en-AU"/>
        </w:rPr>
      </w:pPr>
      <w:r>
        <w:rPr>
          <w:lang w:eastAsia="en-AU"/>
        </w:rPr>
        <w:t>This ITT does not constitute legal or business advice and should not be relied on as a substitute for obtaining detailed advice about the NEM, the NER, or any other applicable laws, procedures or policies</w:t>
      </w:r>
    </w:p>
    <w:p w14:paraId="3706831E" w14:textId="77777777" w:rsidR="00B17D7D" w:rsidRDefault="00B17D7D" w:rsidP="00B17D7D">
      <w:pPr>
        <w:pStyle w:val="ITTHeading2"/>
      </w:pPr>
      <w:r>
        <w:t>Third Party Arrangements</w:t>
      </w:r>
    </w:p>
    <w:p w14:paraId="0FE0DFEE" w14:textId="77777777" w:rsidR="00B17D7D" w:rsidRDefault="00B17D7D" w:rsidP="00B17D7D">
      <w:pPr>
        <w:pStyle w:val="BodyText"/>
        <w:rPr>
          <w:lang w:eastAsia="en-AU"/>
        </w:rPr>
      </w:pPr>
      <w:r>
        <w:rPr>
          <w:lang w:eastAsia="en-AU"/>
        </w:rPr>
        <w:t>The Tenderer must have adequate documented arrangements in place with any third parties who own equipment that must be operated for the effective delivery and testing of the Service.  Schedule 4 of the Tender Form must include a list of those third parties (including the relevant TNSP), and provide the requested information about the arrangements.</w:t>
      </w:r>
    </w:p>
    <w:p w14:paraId="5B51DFC9" w14:textId="6646CA74" w:rsidR="00CA3661" w:rsidRPr="00CA3661" w:rsidRDefault="00CA3661" w:rsidP="00CA3661">
      <w:pPr>
        <w:pStyle w:val="ITTHeading2"/>
        <w:ind w:left="709" w:hanging="709"/>
      </w:pPr>
      <w:r w:rsidRPr="00CA3661">
        <w:t xml:space="preserve">No </w:t>
      </w:r>
      <w:r>
        <w:t>r</w:t>
      </w:r>
      <w:r w:rsidRPr="00CA3661">
        <w:t xml:space="preserve">eimbursement for </w:t>
      </w:r>
      <w:r>
        <w:t>c</w:t>
      </w:r>
      <w:r w:rsidRPr="00CA3661">
        <w:t>osts of Tender</w:t>
      </w:r>
    </w:p>
    <w:p w14:paraId="1A793E8D" w14:textId="6597F59D" w:rsidR="00CA3661" w:rsidRPr="004D197F" w:rsidRDefault="00CA3661" w:rsidP="00CA3661">
      <w:pPr>
        <w:pStyle w:val="BodyText"/>
        <w:ind w:left="709"/>
        <w:rPr>
          <w:lang w:eastAsia="en-AU"/>
        </w:rPr>
      </w:pPr>
      <w:r w:rsidRPr="004D197F">
        <w:rPr>
          <w:lang w:eastAsia="en-AU"/>
        </w:rPr>
        <w:t xml:space="preserve">AEMO </w:t>
      </w:r>
      <w:r>
        <w:rPr>
          <w:lang w:eastAsia="en-AU"/>
        </w:rPr>
        <w:t>or</w:t>
      </w:r>
      <w:r w:rsidRPr="003673F1">
        <w:rPr>
          <w:lang w:eastAsia="en-AU"/>
        </w:rPr>
        <w:t xml:space="preserve"> its Representatives </w:t>
      </w:r>
      <w:r>
        <w:rPr>
          <w:lang w:eastAsia="en-AU"/>
        </w:rPr>
        <w:t>are</w:t>
      </w:r>
      <w:r w:rsidRPr="003673F1">
        <w:rPr>
          <w:lang w:eastAsia="en-AU"/>
        </w:rPr>
        <w:t xml:space="preserve"> </w:t>
      </w:r>
      <w:r>
        <w:rPr>
          <w:lang w:eastAsia="en-AU"/>
        </w:rPr>
        <w:t xml:space="preserve">not </w:t>
      </w:r>
      <w:r w:rsidRPr="003673F1">
        <w:rPr>
          <w:lang w:eastAsia="en-AU"/>
        </w:rPr>
        <w:t xml:space="preserve">responsible for, and no </w:t>
      </w:r>
      <w:r>
        <w:rPr>
          <w:lang w:eastAsia="en-AU"/>
        </w:rPr>
        <w:t>Tenderer</w:t>
      </w:r>
      <w:r w:rsidRPr="003673F1">
        <w:rPr>
          <w:lang w:eastAsia="en-AU"/>
        </w:rPr>
        <w:t xml:space="preserve"> is entitled to be reimbursed for, any expense, liability or loss incurred in the preparation and submission of its </w:t>
      </w:r>
      <w:r>
        <w:rPr>
          <w:lang w:eastAsia="en-AU"/>
        </w:rPr>
        <w:t>Tender</w:t>
      </w:r>
      <w:r w:rsidRPr="003673F1">
        <w:rPr>
          <w:lang w:eastAsia="en-AU"/>
        </w:rPr>
        <w:t>, including (without limitation) for any costs incurred in attending meetings with AEMO or providing any further clarification requested by AEMO</w:t>
      </w:r>
      <w:r w:rsidRPr="004D197F">
        <w:rPr>
          <w:lang w:eastAsia="en-AU"/>
        </w:rPr>
        <w:t>.</w:t>
      </w:r>
    </w:p>
    <w:p w14:paraId="20705B58" w14:textId="77777777" w:rsidR="00CA3661" w:rsidRPr="004D197F" w:rsidRDefault="00CA3661" w:rsidP="00CA3661">
      <w:pPr>
        <w:pStyle w:val="ITTHeading2"/>
        <w:ind w:left="709" w:hanging="709"/>
      </w:pPr>
      <w:r w:rsidRPr="004D197F">
        <w:t>No anti-competitive conduct</w:t>
      </w:r>
    </w:p>
    <w:p w14:paraId="116D0FD2" w14:textId="77777777" w:rsidR="00CA3661" w:rsidRDefault="00CA3661" w:rsidP="00CA3661">
      <w:pPr>
        <w:pStyle w:val="BodyText"/>
      </w:pPr>
      <w:r>
        <w:t>Tenderer</w:t>
      </w:r>
      <w:r w:rsidRPr="007A0EA9">
        <w:t xml:space="preserve">s </w:t>
      </w:r>
      <w:r>
        <w:t>must ensure that they (and their Representatives) do not:</w:t>
      </w:r>
    </w:p>
    <w:p w14:paraId="20049E64" w14:textId="77777777" w:rsidR="00CA3661" w:rsidRPr="00DC522A" w:rsidRDefault="00CA3661" w:rsidP="0072709B">
      <w:pPr>
        <w:pStyle w:val="LRDP12"/>
        <w:numPr>
          <w:ilvl w:val="0"/>
          <w:numId w:val="23"/>
        </w:numPr>
        <w:ind w:left="1276" w:hanging="567"/>
        <w:rPr>
          <w:rFonts w:ascii="Arial Narrow" w:hAnsi="Arial Narrow"/>
        </w:rPr>
      </w:pPr>
      <w:r w:rsidRPr="00DC522A">
        <w:rPr>
          <w:rFonts w:ascii="Arial Narrow" w:hAnsi="Arial Narrow"/>
        </w:rPr>
        <w:t>without the prior written consent of AEMO discuss this ITT with any other person they know has received this ITT or might reasonably be expected to have received it; or</w:t>
      </w:r>
    </w:p>
    <w:p w14:paraId="6C3D3785" w14:textId="77777777" w:rsidR="00CA3661" w:rsidRPr="00DC522A" w:rsidRDefault="00CA3661" w:rsidP="0072709B">
      <w:pPr>
        <w:pStyle w:val="LRDP12"/>
        <w:numPr>
          <w:ilvl w:val="0"/>
          <w:numId w:val="23"/>
        </w:numPr>
        <w:ind w:left="1276" w:hanging="567"/>
        <w:rPr>
          <w:rFonts w:ascii="Arial Narrow" w:hAnsi="Arial Narrow"/>
        </w:rPr>
      </w:pPr>
      <w:r w:rsidRPr="00DC522A">
        <w:rPr>
          <w:rFonts w:ascii="Arial Narrow" w:hAnsi="Arial Narrow"/>
        </w:rPr>
        <w:t>engage in any conduct that is designed to, or might have the effect of, lessening competition in the delivery of the supply to AEMO of the Services contemplated by this ITT.</w:t>
      </w:r>
    </w:p>
    <w:p w14:paraId="0387D751" w14:textId="77777777" w:rsidR="00CA3661" w:rsidRDefault="00CA3661" w:rsidP="00CA3661">
      <w:pPr>
        <w:pStyle w:val="BodyText"/>
      </w:pPr>
      <w:r>
        <w:t xml:space="preserve">For the avoidance of doubt, Tenderers must obtain the prior written approval of AEMO to discuss this ITT with other potential members of any consortium to deliver the Services for AEMO.  </w:t>
      </w:r>
    </w:p>
    <w:p w14:paraId="0D5BE46B" w14:textId="77777777" w:rsidR="00CA3661" w:rsidRDefault="00CA3661" w:rsidP="00CA3661">
      <w:pPr>
        <w:pStyle w:val="BodyText"/>
        <w:rPr>
          <w:rFonts w:cstheme="minorHAnsi"/>
        </w:rPr>
      </w:pPr>
      <w:r>
        <w:t>Subject to the above stipulations, it is not necessary for Tenderers to obtain AEMO’s prior written approval before discussing the delivery of the Services with potential sub-contractors, equipment suppliers or consultants, provided the potential sub-contractor, supplier or consultant complies with the requirements above</w:t>
      </w:r>
      <w:r w:rsidRPr="007A0EA9">
        <w:rPr>
          <w:rFonts w:cstheme="minorHAnsi"/>
        </w:rPr>
        <w:t>.</w:t>
      </w:r>
    </w:p>
    <w:p w14:paraId="195693DF" w14:textId="77777777" w:rsidR="00CA3661" w:rsidRPr="00DC522A" w:rsidRDefault="00CA3661" w:rsidP="00DC522A">
      <w:pPr>
        <w:pStyle w:val="ITTHeading2"/>
        <w:ind w:left="709" w:hanging="709"/>
      </w:pPr>
      <w:r w:rsidRPr="00DC522A">
        <w:t>No Improper Assistance or Inducements</w:t>
      </w:r>
    </w:p>
    <w:p w14:paraId="297391ED" w14:textId="77777777" w:rsidR="00CA3661" w:rsidRDefault="00CA3661" w:rsidP="00DC522A">
      <w:pPr>
        <w:pStyle w:val="BodyText"/>
      </w:pPr>
      <w:r w:rsidRPr="00DC522A">
        <w:t>Tenderers must not seek or accept the assistance of employees, contractors or consultants</w:t>
      </w:r>
      <w:r>
        <w:t xml:space="preserve"> of AEMO in the preparation of their Tenders and must not make any offers or engage in any activities that are likely to be perceived as, or may have the effect of, influencing the outcomes of the ITT process.  Tenderers must at all times comply with all applicable laws in relation to the offering of unlawful inducements in connection with their Tenders.</w:t>
      </w:r>
    </w:p>
    <w:p w14:paraId="448C3EC9" w14:textId="1A58FF81" w:rsidR="00CA3661" w:rsidRPr="00A51D09" w:rsidRDefault="00CA3661" w:rsidP="00CA3661">
      <w:pPr>
        <w:pStyle w:val="ITTHeading2"/>
        <w:numPr>
          <w:ilvl w:val="0"/>
          <w:numId w:val="0"/>
        </w:numPr>
        <w:rPr>
          <w:b w:val="0"/>
          <w:u w:val="single"/>
        </w:rPr>
      </w:pPr>
      <w:r w:rsidRPr="00A51D09">
        <w:rPr>
          <w:u w:val="single"/>
        </w:rPr>
        <w:lastRenderedPageBreak/>
        <w:t>Next steps</w:t>
      </w:r>
      <w:r w:rsidR="00DC522A">
        <w:rPr>
          <w:u w:val="single"/>
        </w:rPr>
        <w:t xml:space="preserve"> after Closing Date</w:t>
      </w:r>
    </w:p>
    <w:p w14:paraId="1DC06D69" w14:textId="77777777" w:rsidR="00CE6FA3" w:rsidRDefault="00CE6FA3" w:rsidP="00CE6FA3">
      <w:pPr>
        <w:pStyle w:val="ITTHeading2"/>
      </w:pPr>
      <w:r>
        <w:t>Tender evaluation</w:t>
      </w:r>
    </w:p>
    <w:p w14:paraId="7A321BCC" w14:textId="6680E980" w:rsidR="00CE6FA3" w:rsidRDefault="00240369" w:rsidP="00CE6FA3">
      <w:pPr>
        <w:pStyle w:val="BodyText"/>
      </w:pPr>
      <w:r>
        <w:t xml:space="preserve">AEMO’s </w:t>
      </w:r>
      <w:r w:rsidRPr="004E3A8A">
        <w:t xml:space="preserve">assessment of </w:t>
      </w:r>
      <w:r>
        <w:t>Tenders</w:t>
      </w:r>
      <w:r w:rsidRPr="004E3A8A">
        <w:t xml:space="preserve"> may include, but </w:t>
      </w:r>
      <w:r>
        <w:t xml:space="preserve">is not </w:t>
      </w:r>
      <w:r w:rsidRPr="004E3A8A">
        <w:t xml:space="preserve">limited to, </w:t>
      </w:r>
      <w:r>
        <w:t xml:space="preserve">an evaluation of </w:t>
      </w:r>
      <w:r w:rsidRPr="004E3A8A">
        <w:t>the following</w:t>
      </w:r>
      <w:r>
        <w:t xml:space="preserve"> matters as relevant to the provision of the Services</w:t>
      </w:r>
      <w:r w:rsidR="00614849">
        <w:t xml:space="preserve"> </w:t>
      </w:r>
      <w:r w:rsidR="00CE6FA3">
        <w:t>(noting precedence does not imply a higher weighting):</w:t>
      </w:r>
    </w:p>
    <w:p w14:paraId="6F616C53" w14:textId="77777777" w:rsidR="00CE6FA3" w:rsidRPr="00CC03E9" w:rsidRDefault="00CE6FA3" w:rsidP="0072709B">
      <w:pPr>
        <w:pStyle w:val="LRDP12"/>
        <w:numPr>
          <w:ilvl w:val="0"/>
          <w:numId w:val="15"/>
        </w:numPr>
        <w:ind w:left="1276" w:hanging="567"/>
        <w:rPr>
          <w:rFonts w:ascii="Arial Narrow" w:hAnsi="Arial Narrow"/>
        </w:rPr>
      </w:pPr>
      <w:r w:rsidRPr="00CC03E9">
        <w:rPr>
          <w:rFonts w:ascii="Arial Narrow" w:hAnsi="Arial Narrow"/>
        </w:rPr>
        <w:t xml:space="preserve">the selection of SRAS for an </w:t>
      </w:r>
      <w:r w:rsidRPr="009773DA">
        <w:rPr>
          <w:rFonts w:ascii="Arial Narrow" w:hAnsi="Arial Narrow"/>
        </w:rPr>
        <w:t xml:space="preserve">electrical sub-network </w:t>
      </w:r>
      <w:r w:rsidRPr="00CC03E9">
        <w:rPr>
          <w:rFonts w:ascii="Arial Narrow" w:hAnsi="Arial Narrow"/>
        </w:rPr>
        <w:t xml:space="preserve">should be consistent with the </w:t>
      </w:r>
      <w:r w:rsidRPr="009773DA">
        <w:rPr>
          <w:rFonts w:ascii="Arial Narrow" w:hAnsi="Arial Narrow"/>
        </w:rPr>
        <w:t>SRAS Procurement Objective</w:t>
      </w:r>
      <w:r w:rsidRPr="00CC03E9">
        <w:rPr>
          <w:rFonts w:ascii="Arial Narrow" w:hAnsi="Arial Narrow"/>
        </w:rPr>
        <w:t xml:space="preserve"> and the SRAS Guideline;</w:t>
      </w:r>
    </w:p>
    <w:p w14:paraId="078598E1" w14:textId="77777777" w:rsidR="00CE6FA3" w:rsidRPr="00D65726" w:rsidRDefault="00CE6FA3" w:rsidP="0072709B">
      <w:pPr>
        <w:pStyle w:val="LRDP12"/>
        <w:numPr>
          <w:ilvl w:val="0"/>
          <w:numId w:val="15"/>
        </w:numPr>
        <w:ind w:left="1276" w:hanging="567"/>
        <w:rPr>
          <w:rFonts w:ascii="Arial Narrow" w:hAnsi="Arial Narrow"/>
        </w:rPr>
      </w:pPr>
      <w:r>
        <w:rPr>
          <w:rFonts w:ascii="Arial Narrow" w:hAnsi="Arial Narrow"/>
        </w:rPr>
        <w:t xml:space="preserve">AEMO will seek, for each </w:t>
      </w:r>
      <w:r w:rsidRPr="008F656A">
        <w:rPr>
          <w:rFonts w:ascii="Arial Narrow" w:hAnsi="Arial Narrow"/>
          <w:i/>
        </w:rPr>
        <w:t>electrical sub-network</w:t>
      </w:r>
      <w:r>
        <w:rPr>
          <w:rFonts w:ascii="Arial Narrow" w:hAnsi="Arial Narrow"/>
        </w:rPr>
        <w:t>,</w:t>
      </w:r>
      <w:r w:rsidRPr="00DD6969">
        <w:rPr>
          <w:rFonts w:ascii="Arial Narrow" w:hAnsi="Arial Narrow"/>
        </w:rPr>
        <w:t xml:space="preserve"> </w:t>
      </w:r>
      <w:r>
        <w:rPr>
          <w:rFonts w:ascii="Arial Narrow" w:hAnsi="Arial Narrow"/>
        </w:rPr>
        <w:t xml:space="preserve">the Service or combination of Services representing the best longer term value for money in providing SRAS capability to meet the System Restart Standard </w:t>
      </w:r>
      <w:r w:rsidRPr="00DD6969">
        <w:rPr>
          <w:rFonts w:ascii="Arial Narrow" w:hAnsi="Arial Narrow"/>
        </w:rPr>
        <w:t>for th</w:t>
      </w:r>
      <w:r>
        <w:rPr>
          <w:rFonts w:ascii="Arial Narrow" w:hAnsi="Arial Narrow"/>
        </w:rPr>
        <w:t>e</w:t>
      </w:r>
      <w:r w:rsidRPr="00DD6969">
        <w:rPr>
          <w:rFonts w:ascii="Arial Narrow" w:hAnsi="Arial Narrow"/>
        </w:rPr>
        <w:t xml:space="preserve"> </w:t>
      </w:r>
      <w:r w:rsidRPr="008F656A">
        <w:rPr>
          <w:rFonts w:ascii="Arial Narrow" w:hAnsi="Arial Narrow"/>
          <w:i/>
        </w:rPr>
        <w:t>electrical sub-network</w:t>
      </w:r>
      <w:r>
        <w:rPr>
          <w:rFonts w:ascii="Arial Narrow" w:hAnsi="Arial Narrow"/>
        </w:rPr>
        <w:t>;</w:t>
      </w:r>
    </w:p>
    <w:p w14:paraId="2B46926F" w14:textId="77777777" w:rsidR="00CE6FA3" w:rsidRPr="00CC03E9" w:rsidRDefault="00CE6FA3" w:rsidP="0072709B">
      <w:pPr>
        <w:pStyle w:val="ListBullet"/>
        <w:numPr>
          <w:ilvl w:val="0"/>
          <w:numId w:val="15"/>
        </w:numPr>
        <w:tabs>
          <w:tab w:val="clear" w:pos="1134"/>
          <w:tab w:val="left" w:pos="1276"/>
        </w:tabs>
        <w:ind w:left="1276" w:hanging="567"/>
      </w:pPr>
      <w:r>
        <w:t>t</w:t>
      </w:r>
      <w:r w:rsidRPr="00880E07">
        <w:t>he Tenderer must be</w:t>
      </w:r>
      <w:r>
        <w:t xml:space="preserve"> registered</w:t>
      </w:r>
      <w:r w:rsidRPr="00880E07">
        <w:t xml:space="preserve"> or intend to register with </w:t>
      </w:r>
      <w:r w:rsidRPr="0064064B">
        <w:t>AEMO</w:t>
      </w:r>
      <w:r w:rsidRPr="00880E07">
        <w:t xml:space="preserve"> as a </w:t>
      </w:r>
      <w:r w:rsidRPr="00CF2253">
        <w:rPr>
          <w:i/>
          <w:iCs/>
        </w:rPr>
        <w:t>Registered Participant</w:t>
      </w:r>
      <w:r w:rsidRPr="00096A0F">
        <w:t>;</w:t>
      </w:r>
    </w:p>
    <w:p w14:paraId="4D6C639F" w14:textId="77777777" w:rsidR="00CE6FA3" w:rsidRPr="00880E07" w:rsidRDefault="00CE6FA3" w:rsidP="0072709B">
      <w:pPr>
        <w:pStyle w:val="ListBullet"/>
        <w:numPr>
          <w:ilvl w:val="0"/>
          <w:numId w:val="15"/>
        </w:numPr>
        <w:tabs>
          <w:tab w:val="clear" w:pos="1134"/>
          <w:tab w:val="left" w:pos="1276"/>
        </w:tabs>
        <w:ind w:left="1276" w:hanging="567"/>
      </w:pPr>
      <w:r>
        <w:rPr>
          <w:iCs/>
        </w:rPr>
        <w:t xml:space="preserve">the Tenderer must be able to demonstrate, through testing, that the Service can be delivered as described in Schedule 2 to the Tender Form; </w:t>
      </w:r>
    </w:p>
    <w:p w14:paraId="5236A68C" w14:textId="77777777" w:rsidR="00CE6FA3" w:rsidRPr="00880E07" w:rsidRDefault="00CE6FA3" w:rsidP="0072709B">
      <w:pPr>
        <w:pStyle w:val="ListBullet"/>
        <w:numPr>
          <w:ilvl w:val="0"/>
          <w:numId w:val="15"/>
        </w:numPr>
        <w:tabs>
          <w:tab w:val="clear" w:pos="1134"/>
          <w:tab w:val="left" w:pos="1276"/>
        </w:tabs>
        <w:ind w:left="1276" w:hanging="567"/>
      </w:pPr>
      <w:r>
        <w:t>in selecting from Tenders that meet the criteria set out in paragraphs (b) to (d) above, AEMO will have regard to:</w:t>
      </w:r>
    </w:p>
    <w:p w14:paraId="15A03642" w14:textId="77777777" w:rsidR="00CE6FA3" w:rsidRPr="00880E07" w:rsidRDefault="00CE6FA3" w:rsidP="0072709B">
      <w:pPr>
        <w:pStyle w:val="ListBullet"/>
        <w:numPr>
          <w:ilvl w:val="1"/>
          <w:numId w:val="16"/>
        </w:numPr>
      </w:pPr>
      <w:r w:rsidRPr="00880E07">
        <w:t>the prices at which the Service is offered</w:t>
      </w:r>
      <w:r>
        <w:t>;</w:t>
      </w:r>
    </w:p>
    <w:p w14:paraId="2423F0A3" w14:textId="77777777" w:rsidR="00240369" w:rsidRPr="00096A0F" w:rsidRDefault="00240369" w:rsidP="0072709B">
      <w:pPr>
        <w:pStyle w:val="ListBullet"/>
        <w:numPr>
          <w:ilvl w:val="1"/>
          <w:numId w:val="16"/>
        </w:numPr>
      </w:pPr>
      <w:r w:rsidRPr="00096A0F">
        <w:t>commencement date and ongoing availability of Services;</w:t>
      </w:r>
    </w:p>
    <w:p w14:paraId="3E4E3CF2" w14:textId="77777777" w:rsidR="00CE6FA3" w:rsidRDefault="00CE6FA3" w:rsidP="0072709B">
      <w:pPr>
        <w:pStyle w:val="ListBullet"/>
        <w:numPr>
          <w:ilvl w:val="1"/>
          <w:numId w:val="16"/>
        </w:numPr>
      </w:pPr>
      <w:r w:rsidRPr="00880E07">
        <w:t>the extent to which the offered Service exceeds the minimum requirements</w:t>
      </w:r>
      <w:r>
        <w:t>, including reliability requirements,</w:t>
      </w:r>
      <w:r w:rsidRPr="00880E07">
        <w:t xml:space="preserve"> for a </w:t>
      </w:r>
      <w:r w:rsidRPr="00B17D7D">
        <w:t>primary restart service</w:t>
      </w:r>
      <w:r w:rsidRPr="00880E07">
        <w:t xml:space="preserve">, or a </w:t>
      </w:r>
      <w:r w:rsidRPr="00B17D7D">
        <w:t>secondary restart service</w:t>
      </w:r>
      <w:r w:rsidRPr="00880E07">
        <w:t>, as the case may be</w:t>
      </w:r>
      <w:r>
        <w:t>;</w:t>
      </w:r>
      <w:r w:rsidRPr="00880E07">
        <w:t xml:space="preserve"> </w:t>
      </w:r>
    </w:p>
    <w:p w14:paraId="783FFBE1" w14:textId="77777777" w:rsidR="00240369" w:rsidRPr="00096A0F" w:rsidRDefault="00240369" w:rsidP="0072709B">
      <w:pPr>
        <w:pStyle w:val="ListBullet"/>
        <w:numPr>
          <w:ilvl w:val="1"/>
          <w:numId w:val="16"/>
        </w:numPr>
      </w:pPr>
      <w:r w:rsidRPr="00096A0F">
        <w:t>compliance with ITT requirements;</w:t>
      </w:r>
    </w:p>
    <w:p w14:paraId="5A84E7E1" w14:textId="77777777" w:rsidR="00CE6FA3" w:rsidRDefault="00CE6FA3" w:rsidP="0072709B">
      <w:pPr>
        <w:pStyle w:val="ListBullet"/>
        <w:numPr>
          <w:ilvl w:val="1"/>
          <w:numId w:val="16"/>
        </w:numPr>
      </w:pPr>
      <w:r w:rsidRPr="00880E07">
        <w:t xml:space="preserve">the </w:t>
      </w:r>
      <w:r>
        <w:t xml:space="preserve">number, nature and </w:t>
      </w:r>
      <w:r w:rsidRPr="00880E07">
        <w:t xml:space="preserve">impact of any requested changes to the </w:t>
      </w:r>
      <w:r>
        <w:t>proposed agreement;</w:t>
      </w:r>
      <w:r w:rsidRPr="00880E07">
        <w:t xml:space="preserve"> </w:t>
      </w:r>
    </w:p>
    <w:p w14:paraId="2ED795FF" w14:textId="77777777" w:rsidR="00240369" w:rsidRPr="00096A0F" w:rsidRDefault="00240369" w:rsidP="0072709B">
      <w:pPr>
        <w:pStyle w:val="ListBullet"/>
        <w:numPr>
          <w:ilvl w:val="1"/>
          <w:numId w:val="16"/>
        </w:numPr>
      </w:pPr>
      <w:r w:rsidRPr="00096A0F">
        <w:t>qualitative and quantitative technical evaluation, including location, efficiency and technical capability of the facilities to deliver the Services;</w:t>
      </w:r>
    </w:p>
    <w:p w14:paraId="45663E1C" w14:textId="6AE89FDB" w:rsidR="00240369" w:rsidRPr="00240369" w:rsidRDefault="00240369" w:rsidP="0072709B">
      <w:pPr>
        <w:pStyle w:val="ListParagraph"/>
        <w:numPr>
          <w:ilvl w:val="1"/>
          <w:numId w:val="16"/>
        </w:numPr>
        <w:rPr>
          <w:rFonts w:ascii="Arial Narrow" w:hAnsi="Arial Narrow"/>
          <w:szCs w:val="24"/>
          <w:lang w:val="en-GB" w:eastAsia="en-GB"/>
        </w:rPr>
      </w:pPr>
      <w:r w:rsidRPr="00240369">
        <w:rPr>
          <w:rFonts w:ascii="Arial Narrow" w:hAnsi="Arial Narrow"/>
          <w:szCs w:val="24"/>
          <w:lang w:val="en-GB" w:eastAsia="en-GB"/>
        </w:rPr>
        <w:t>Tenderer's capacity and resources, including</w:t>
      </w:r>
      <w:r w:rsidRPr="00240369">
        <w:t xml:space="preserve"> </w:t>
      </w:r>
      <w:r w:rsidRPr="0090782D">
        <w:rPr>
          <w:rFonts w:ascii="Arial Narrow" w:hAnsi="Arial Narrow"/>
          <w:szCs w:val="24"/>
          <w:lang w:val="en-GB" w:eastAsia="en-GB"/>
        </w:rPr>
        <w:t>its corporate credentials</w:t>
      </w:r>
      <w:r>
        <w:rPr>
          <w:rFonts w:ascii="Arial Narrow" w:hAnsi="Arial Narrow"/>
          <w:szCs w:val="24"/>
          <w:lang w:val="en-GB" w:eastAsia="en-GB"/>
        </w:rPr>
        <w:t>,</w:t>
      </w:r>
      <w:r w:rsidRPr="00240369">
        <w:rPr>
          <w:rFonts w:ascii="Arial Narrow" w:hAnsi="Arial Narrow"/>
          <w:szCs w:val="24"/>
          <w:lang w:val="en-GB" w:eastAsia="en-GB"/>
        </w:rPr>
        <w:t xml:space="preserve"> personnel, financial stability</w:t>
      </w:r>
      <w:r>
        <w:rPr>
          <w:rFonts w:ascii="Arial Narrow" w:hAnsi="Arial Narrow"/>
          <w:szCs w:val="24"/>
          <w:lang w:val="en-GB" w:eastAsia="en-GB"/>
        </w:rPr>
        <w:t>,</w:t>
      </w:r>
      <w:r w:rsidRPr="00240369">
        <w:rPr>
          <w:rFonts w:ascii="Arial Narrow" w:hAnsi="Arial Narrow"/>
          <w:szCs w:val="24"/>
          <w:lang w:val="en-GB" w:eastAsia="en-GB"/>
        </w:rPr>
        <w:t xml:space="preserve"> and operational expertise;</w:t>
      </w:r>
    </w:p>
    <w:p w14:paraId="6FE23B24" w14:textId="77777777" w:rsidR="00CE6FA3" w:rsidRDefault="00CE6FA3" w:rsidP="0072709B">
      <w:pPr>
        <w:pStyle w:val="ListBullet"/>
        <w:numPr>
          <w:ilvl w:val="1"/>
          <w:numId w:val="16"/>
        </w:numPr>
      </w:pPr>
      <w:r w:rsidRPr="00880E07">
        <w:t xml:space="preserve">compliance with the </w:t>
      </w:r>
      <w:r w:rsidRPr="00351F0D">
        <w:t>NER</w:t>
      </w:r>
      <w:r>
        <w:t>;</w:t>
      </w:r>
    </w:p>
    <w:p w14:paraId="5D766487" w14:textId="77777777" w:rsidR="00240369" w:rsidRPr="00096A0F" w:rsidRDefault="00240369" w:rsidP="0072709B">
      <w:pPr>
        <w:pStyle w:val="ListBullet"/>
        <w:numPr>
          <w:ilvl w:val="1"/>
          <w:numId w:val="16"/>
        </w:numPr>
      </w:pPr>
      <w:r w:rsidRPr="00096A0F">
        <w:t>value for money having regard to total cost and benefits of the Services over time;</w:t>
      </w:r>
    </w:p>
    <w:p w14:paraId="21FB7C84" w14:textId="77777777" w:rsidR="00240369" w:rsidRPr="00096A0F" w:rsidRDefault="00240369" w:rsidP="0072709B">
      <w:pPr>
        <w:pStyle w:val="ListBullet"/>
        <w:numPr>
          <w:ilvl w:val="1"/>
          <w:numId w:val="16"/>
        </w:numPr>
      </w:pPr>
      <w:r w:rsidRPr="00096A0F">
        <w:t xml:space="preserve">evaluation of risk, potential liability and proposed contract terms and conditions; </w:t>
      </w:r>
    </w:p>
    <w:p w14:paraId="0BCEC41E" w14:textId="77777777" w:rsidR="00CE6FA3" w:rsidRPr="00880E07" w:rsidRDefault="00CE6FA3" w:rsidP="0072709B">
      <w:pPr>
        <w:pStyle w:val="ListBullet"/>
        <w:numPr>
          <w:ilvl w:val="1"/>
          <w:numId w:val="16"/>
        </w:numPr>
      </w:pPr>
      <w:r w:rsidRPr="00880E07">
        <w:t xml:space="preserve">any other factors </w:t>
      </w:r>
      <w:r w:rsidDel="004E09C9">
        <w:t>AEMO</w:t>
      </w:r>
      <w:r w:rsidRPr="00B17D7D">
        <w:t xml:space="preserve"> </w:t>
      </w:r>
      <w:r w:rsidRPr="0068610E">
        <w:t>considers</w:t>
      </w:r>
      <w:r w:rsidRPr="00B17D7D">
        <w:t xml:space="preserve"> </w:t>
      </w:r>
      <w:r w:rsidRPr="00880E07">
        <w:t>to be relevant</w:t>
      </w:r>
      <w:r>
        <w:t xml:space="preserve">, </w:t>
      </w:r>
      <w:r w:rsidRPr="0081095F">
        <w:t>including construct ability and project viability.</w:t>
      </w:r>
    </w:p>
    <w:p w14:paraId="43014FA6" w14:textId="77777777" w:rsidR="00240369" w:rsidRDefault="00240369" w:rsidP="00240369">
      <w:pPr>
        <w:pStyle w:val="BodyText"/>
      </w:pPr>
      <w:r w:rsidRPr="00AC06EF">
        <w:t>AEMO’s indicative tim</w:t>
      </w:r>
      <w:r>
        <w:t xml:space="preserve">ing for evaluation of Tenders and award of contracts is set out in section </w:t>
      </w:r>
      <w:r>
        <w:fldChar w:fldCharType="begin"/>
      </w:r>
      <w:r>
        <w:instrText xml:space="preserve"> REF _Ref29047290 \r \h </w:instrText>
      </w:r>
      <w:r>
        <w:fldChar w:fldCharType="separate"/>
      </w:r>
      <w:r>
        <w:t>A.3</w:t>
      </w:r>
      <w:r>
        <w:fldChar w:fldCharType="end"/>
      </w:r>
      <w:r>
        <w:t>. AEMO may change these times or steps, or stop or suspend the ITT process at any time.</w:t>
      </w:r>
    </w:p>
    <w:p w14:paraId="16466FE5" w14:textId="77777777" w:rsidR="00CE6FA3" w:rsidRDefault="00CE6FA3" w:rsidP="00CE6FA3">
      <w:pPr>
        <w:pStyle w:val="BodyText"/>
      </w:pPr>
      <w:r w:rsidRPr="00351F0D">
        <w:t xml:space="preserve">AEMO may, in its absolute discretion, evaluate and accept Tenders that do not meet the </w:t>
      </w:r>
      <w:r>
        <w:t xml:space="preserve">criteria </w:t>
      </w:r>
      <w:r w:rsidRPr="00351F0D">
        <w:t xml:space="preserve"> in</w:t>
      </w:r>
      <w:r>
        <w:t xml:space="preserve"> this</w:t>
      </w:r>
      <w:r w:rsidRPr="00351F0D">
        <w:t xml:space="preserve"> </w:t>
      </w:r>
      <w:r w:rsidRPr="00351F0D">
        <w:rPr>
          <w:b/>
        </w:rPr>
        <w:t xml:space="preserve">Section </w:t>
      </w:r>
      <w:r>
        <w:rPr>
          <w:b/>
        </w:rPr>
        <w:t>B (ITT Rules)</w:t>
      </w:r>
      <w:r w:rsidRPr="00351F0D">
        <w:t>, but AEMO is not obliged to do so.</w:t>
      </w:r>
      <w:r>
        <w:t xml:space="preserve"> </w:t>
      </w:r>
    </w:p>
    <w:p w14:paraId="2D71BA85" w14:textId="264B79D2" w:rsidR="00DC522A" w:rsidRPr="004D197F" w:rsidRDefault="00DC522A" w:rsidP="00DC522A">
      <w:pPr>
        <w:pStyle w:val="ITTHeading2"/>
        <w:ind w:left="709" w:hanging="709"/>
      </w:pPr>
      <w:r>
        <w:t>Tender</w:t>
      </w:r>
      <w:r w:rsidRPr="004D197F">
        <w:t>s commercial-in-confidence</w:t>
      </w:r>
    </w:p>
    <w:p w14:paraId="7F0D514F" w14:textId="77777777" w:rsidR="00DC522A" w:rsidRDefault="00DC522A" w:rsidP="00DC522A">
      <w:pPr>
        <w:pStyle w:val="BodyText"/>
        <w:rPr>
          <w:lang w:eastAsia="en-AU"/>
        </w:rPr>
      </w:pPr>
      <w:r w:rsidRPr="00A51D09">
        <w:t>AEMO</w:t>
      </w:r>
      <w:r w:rsidRPr="007A0EA9">
        <w:rPr>
          <w:lang w:eastAsia="en-AU"/>
        </w:rPr>
        <w:t xml:space="preserve"> </w:t>
      </w:r>
      <w:r>
        <w:rPr>
          <w:lang w:eastAsia="en-AU"/>
        </w:rPr>
        <w:t>will retain all Tenders.  AEMO may copy and distribute Tenders for the purposes of evaluation. Tenders will be treated as confidential and will not be disclosed outside AEMO unless it is:</w:t>
      </w:r>
    </w:p>
    <w:p w14:paraId="3CF55177" w14:textId="77777777" w:rsidR="00DC522A" w:rsidRPr="00BD468D" w:rsidRDefault="00DC522A" w:rsidP="0072709B">
      <w:pPr>
        <w:pStyle w:val="LRDP12"/>
        <w:numPr>
          <w:ilvl w:val="0"/>
          <w:numId w:val="20"/>
        </w:numPr>
        <w:ind w:left="1276" w:hanging="567"/>
        <w:rPr>
          <w:rFonts w:ascii="Arial Narrow" w:hAnsi="Arial Narrow"/>
        </w:rPr>
      </w:pPr>
      <w:r w:rsidRPr="00BD468D">
        <w:rPr>
          <w:rFonts w:ascii="Arial Narrow" w:hAnsi="Arial Narrow"/>
        </w:rPr>
        <w:t>required by law, or in the course of legal proceedings;</w:t>
      </w:r>
    </w:p>
    <w:p w14:paraId="2A430F2F" w14:textId="7B68C0BC" w:rsidR="00DC522A" w:rsidRPr="00BD468D" w:rsidRDefault="00DC522A" w:rsidP="0072709B">
      <w:pPr>
        <w:pStyle w:val="LRDP12"/>
        <w:numPr>
          <w:ilvl w:val="0"/>
          <w:numId w:val="20"/>
        </w:numPr>
        <w:ind w:left="1276" w:hanging="567"/>
        <w:rPr>
          <w:rFonts w:ascii="Arial Narrow" w:hAnsi="Arial Narrow"/>
        </w:rPr>
      </w:pPr>
      <w:r w:rsidRPr="00BD468D">
        <w:rPr>
          <w:rFonts w:ascii="Arial Narrow" w:hAnsi="Arial Narrow"/>
        </w:rPr>
        <w:lastRenderedPageBreak/>
        <w:t xml:space="preserve">for the purposes of liaising with </w:t>
      </w:r>
      <w:r w:rsidR="0090782D">
        <w:rPr>
          <w:rFonts w:ascii="Arial Narrow" w:hAnsi="Arial Narrow"/>
        </w:rPr>
        <w:t>a State Government</w:t>
      </w:r>
      <w:r w:rsidRPr="00BD468D">
        <w:rPr>
          <w:rFonts w:ascii="Arial Narrow" w:hAnsi="Arial Narrow"/>
        </w:rPr>
        <w:t xml:space="preserve"> and its professional advisers in connection with this ITT or the Services;</w:t>
      </w:r>
    </w:p>
    <w:p w14:paraId="69AA4674" w14:textId="77777777" w:rsidR="00DC522A" w:rsidRPr="0090782D" w:rsidRDefault="00DC522A" w:rsidP="0072709B">
      <w:pPr>
        <w:pStyle w:val="LRDP12"/>
        <w:numPr>
          <w:ilvl w:val="0"/>
          <w:numId w:val="20"/>
        </w:numPr>
        <w:ind w:left="1276" w:hanging="567"/>
        <w:rPr>
          <w:rFonts w:ascii="Arial Narrow" w:hAnsi="Arial Narrow"/>
        </w:rPr>
      </w:pPr>
      <w:r w:rsidRPr="0090782D">
        <w:rPr>
          <w:rFonts w:ascii="Arial Narrow" w:hAnsi="Arial Narrow"/>
        </w:rPr>
        <w:t>for the purposes of assessing the feasibility of any Tender with a relevant Network Service Provider;</w:t>
      </w:r>
    </w:p>
    <w:p w14:paraId="445DBBD0" w14:textId="77777777" w:rsidR="00DC522A" w:rsidRPr="00BD468D" w:rsidRDefault="00DC522A" w:rsidP="0072709B">
      <w:pPr>
        <w:pStyle w:val="LRDP12"/>
        <w:numPr>
          <w:ilvl w:val="0"/>
          <w:numId w:val="20"/>
        </w:numPr>
        <w:ind w:left="1276" w:hanging="567"/>
        <w:rPr>
          <w:rFonts w:ascii="Arial Narrow" w:hAnsi="Arial Narrow"/>
        </w:rPr>
      </w:pPr>
      <w:r w:rsidRPr="00BD468D">
        <w:rPr>
          <w:rFonts w:ascii="Arial Narrow" w:hAnsi="Arial Narrow"/>
        </w:rPr>
        <w:t>requested by any regulatory or other government authority having jurisdiction over AEMO, or its activities; or</w:t>
      </w:r>
    </w:p>
    <w:p w14:paraId="5AFAF513" w14:textId="77777777" w:rsidR="00DC522A" w:rsidRDefault="00DC522A" w:rsidP="0072709B">
      <w:pPr>
        <w:pStyle w:val="LRDP12"/>
        <w:numPr>
          <w:ilvl w:val="0"/>
          <w:numId w:val="20"/>
        </w:numPr>
        <w:ind w:left="1276" w:hanging="567"/>
        <w:rPr>
          <w:rFonts w:ascii="Arial Narrow" w:hAnsi="Arial Narrow"/>
        </w:rPr>
      </w:pPr>
      <w:r w:rsidRPr="00BD468D">
        <w:rPr>
          <w:rFonts w:ascii="Arial Narrow" w:hAnsi="Arial Narrow"/>
        </w:rPr>
        <w:t>to AEMO’s external advisers, consultants or insurers</w:t>
      </w:r>
      <w:r>
        <w:rPr>
          <w:rFonts w:ascii="Arial Narrow" w:hAnsi="Arial Narrow"/>
        </w:rPr>
        <w:t>,</w:t>
      </w:r>
    </w:p>
    <w:p w14:paraId="6898C3EC" w14:textId="77777777" w:rsidR="00DC522A" w:rsidRPr="00BD468D" w:rsidRDefault="00DC522A" w:rsidP="00DC522A">
      <w:pPr>
        <w:pStyle w:val="LRDP12"/>
        <w:numPr>
          <w:ilvl w:val="0"/>
          <w:numId w:val="0"/>
        </w:numPr>
        <w:ind w:left="720"/>
        <w:rPr>
          <w:rFonts w:ascii="Arial Narrow" w:hAnsi="Arial Narrow"/>
        </w:rPr>
      </w:pPr>
      <w:r>
        <w:rPr>
          <w:rFonts w:ascii="Arial Narrow" w:hAnsi="Arial Narrow"/>
        </w:rPr>
        <w:t>in which case, the Tenderer is deemed to have accepted the disclosure by submitting a Tender</w:t>
      </w:r>
      <w:r w:rsidRPr="00BD468D">
        <w:rPr>
          <w:rFonts w:ascii="Arial Narrow" w:hAnsi="Arial Narrow"/>
        </w:rPr>
        <w:t>.</w:t>
      </w:r>
    </w:p>
    <w:p w14:paraId="022AD67F" w14:textId="1F5B3413" w:rsidR="00DC522A" w:rsidRDefault="00DC522A" w:rsidP="00CA3661">
      <w:pPr>
        <w:pStyle w:val="ITTHeading2"/>
      </w:pPr>
      <w:r>
        <w:t>Use of Tenders</w:t>
      </w:r>
    </w:p>
    <w:p w14:paraId="20BF3C55" w14:textId="77777777" w:rsidR="00DC522A" w:rsidRPr="004D197F" w:rsidRDefault="00DC522A" w:rsidP="00DC522A">
      <w:pPr>
        <w:pStyle w:val="BodyText"/>
      </w:pPr>
      <w:r w:rsidRPr="004D197F">
        <w:t xml:space="preserve">Upon submission, all </w:t>
      </w:r>
      <w:r>
        <w:t>Tender</w:t>
      </w:r>
      <w:r w:rsidRPr="004D197F">
        <w:t xml:space="preserve">s become the property of AEMO. </w:t>
      </w:r>
      <w:r>
        <w:t>Tenderer</w:t>
      </w:r>
      <w:r w:rsidRPr="004D197F">
        <w:t xml:space="preserve">s will retain all intellectual property rights contained in the </w:t>
      </w:r>
      <w:r>
        <w:t>Tender</w:t>
      </w:r>
      <w:r w:rsidRPr="004D197F">
        <w:t>.</w:t>
      </w:r>
    </w:p>
    <w:p w14:paraId="637A5993" w14:textId="77777777" w:rsidR="00DC522A" w:rsidRPr="004D197F" w:rsidRDefault="00DC522A" w:rsidP="00DC522A">
      <w:pPr>
        <w:pStyle w:val="BodyText"/>
      </w:pPr>
      <w:r w:rsidRPr="00AC66BF">
        <w:t xml:space="preserve">Notwithstanding the above, each </w:t>
      </w:r>
      <w:r>
        <w:t>Tenderer</w:t>
      </w:r>
      <w:r w:rsidRPr="00AC66BF">
        <w:t xml:space="preserve">, by submission of their </w:t>
      </w:r>
      <w:r>
        <w:t>Tender</w:t>
      </w:r>
      <w:r w:rsidRPr="00AC66BF">
        <w:t>, is deemed to have granted AEMO a licen</w:t>
      </w:r>
      <w:r>
        <w:t>c</w:t>
      </w:r>
      <w:r w:rsidRPr="00AC66BF">
        <w:t xml:space="preserve">e to reproduce the whole, or any portion, of their </w:t>
      </w:r>
      <w:r>
        <w:t>Tender</w:t>
      </w:r>
      <w:r w:rsidRPr="00AC66BF">
        <w:t xml:space="preserve"> for the purposes of enabling AEMO to evaluate the </w:t>
      </w:r>
      <w:r>
        <w:t>Tender</w:t>
      </w:r>
      <w:r w:rsidRPr="00AC66BF">
        <w:t xml:space="preserve"> and to define its requirements for the </w:t>
      </w:r>
      <w:r>
        <w:t>Services</w:t>
      </w:r>
      <w:r w:rsidRPr="00AC66BF">
        <w:t xml:space="preserve"> and the content of any future ITT or other document describing or relating to the </w:t>
      </w:r>
      <w:r>
        <w:t>Services</w:t>
      </w:r>
      <w:r w:rsidRPr="004D197F">
        <w:t>.</w:t>
      </w:r>
    </w:p>
    <w:p w14:paraId="535182AE" w14:textId="65AEE8EE" w:rsidR="00CA3661" w:rsidRPr="001E3038" w:rsidRDefault="00CA3661" w:rsidP="00CA3661">
      <w:pPr>
        <w:pStyle w:val="ITTHeading2"/>
      </w:pPr>
      <w:r w:rsidRPr="001E3038">
        <w:t>Clarification</w:t>
      </w:r>
    </w:p>
    <w:p w14:paraId="790F28FF" w14:textId="77777777" w:rsidR="00CA3661" w:rsidRDefault="00CA3661" w:rsidP="00CA3661">
      <w:pPr>
        <w:pStyle w:val="BodyText"/>
      </w:pPr>
      <w:r>
        <w:t>If AEMO considers that a Tender is unclear in any respect, it may seek clarification or further information from any or all Tenderers at any time during the evaluation process. Failure to supply clarification to AEMO’s satisfaction may result in the disqualification of a Tender.</w:t>
      </w:r>
    </w:p>
    <w:p w14:paraId="2431F03E" w14:textId="01F66563" w:rsidR="00CE6FA3" w:rsidRDefault="00CE6FA3" w:rsidP="00CA3661">
      <w:pPr>
        <w:pStyle w:val="BodyText"/>
        <w:rPr>
          <w:lang w:val="en-US"/>
        </w:rPr>
      </w:pPr>
      <w:r w:rsidRPr="00351F0D">
        <w:rPr>
          <w:lang w:val="en-US"/>
        </w:rPr>
        <w:t xml:space="preserve">Tenderers may be required to attend meetings with </w:t>
      </w:r>
      <w:r w:rsidDel="004E09C9">
        <w:rPr>
          <w:lang w:val="en-US"/>
        </w:rPr>
        <w:t>AEMO</w:t>
      </w:r>
      <w:r w:rsidRPr="00351F0D">
        <w:rPr>
          <w:lang w:val="en-US"/>
        </w:rPr>
        <w:t xml:space="preserve"> at a time and place to be notified by the </w:t>
      </w:r>
      <w:r w:rsidRPr="00DD2023">
        <w:rPr>
          <w:lang w:val="en-US"/>
        </w:rPr>
        <w:t xml:space="preserve">AEMO SRAS </w:t>
      </w:r>
      <w:r w:rsidR="0088372E">
        <w:rPr>
          <w:lang w:val="en-US"/>
        </w:rPr>
        <w:t xml:space="preserve">Project </w:t>
      </w:r>
      <w:r w:rsidRPr="00DD2023">
        <w:rPr>
          <w:lang w:val="en-US"/>
        </w:rPr>
        <w:t>Manager</w:t>
      </w:r>
      <w:r w:rsidRPr="00351F0D">
        <w:rPr>
          <w:lang w:val="en-US"/>
        </w:rPr>
        <w:t xml:space="preserve"> to review and discuss any such matters.</w:t>
      </w:r>
    </w:p>
    <w:p w14:paraId="55A4AC08" w14:textId="6F9AE436" w:rsidR="00CA3661" w:rsidRDefault="00CA3661" w:rsidP="00CA3661">
      <w:pPr>
        <w:pStyle w:val="BodyText"/>
      </w:pPr>
      <w:r>
        <w:t>AEMO has no obligation to seek clarification of any Tender, and reserves the right to disregard any information that it considers to be unclear.</w:t>
      </w:r>
    </w:p>
    <w:p w14:paraId="47967E31" w14:textId="77777777" w:rsidR="00614849" w:rsidRPr="004D197F" w:rsidRDefault="00614849" w:rsidP="00614849">
      <w:pPr>
        <w:pStyle w:val="ITTHeading2"/>
        <w:ind w:left="709" w:hanging="709"/>
      </w:pPr>
      <w:r w:rsidRPr="004D197F">
        <w:t xml:space="preserve">Withdrawal of </w:t>
      </w:r>
      <w:r>
        <w:t>Tender</w:t>
      </w:r>
    </w:p>
    <w:p w14:paraId="7373FA56" w14:textId="77777777" w:rsidR="00614849" w:rsidRDefault="00614849" w:rsidP="00614849">
      <w:pPr>
        <w:pStyle w:val="BodyText"/>
        <w:rPr>
          <w:lang w:eastAsia="en-AU"/>
        </w:rPr>
      </w:pPr>
      <w:r w:rsidRPr="004D197F">
        <w:rPr>
          <w:lang w:eastAsia="en-AU"/>
        </w:rPr>
        <w:t xml:space="preserve">A </w:t>
      </w:r>
      <w:r>
        <w:rPr>
          <w:lang w:eastAsia="en-AU"/>
        </w:rPr>
        <w:t>Tenderer</w:t>
      </w:r>
      <w:r w:rsidRPr="004D197F">
        <w:rPr>
          <w:lang w:eastAsia="en-AU"/>
        </w:rPr>
        <w:t xml:space="preserve"> who wishes to withdraw a </w:t>
      </w:r>
      <w:r>
        <w:rPr>
          <w:lang w:eastAsia="en-AU"/>
        </w:rPr>
        <w:t>Tender</w:t>
      </w:r>
      <w:r w:rsidRPr="004D197F">
        <w:rPr>
          <w:lang w:eastAsia="en-AU"/>
        </w:rPr>
        <w:t xml:space="preserve"> must immediately notify AEMO of that fact. </w:t>
      </w:r>
      <w:r>
        <w:rPr>
          <w:lang w:eastAsia="en-AU"/>
        </w:rPr>
        <w:t xml:space="preserve"> </w:t>
      </w:r>
      <w:r w:rsidRPr="004D197F">
        <w:rPr>
          <w:lang w:eastAsia="en-AU"/>
        </w:rPr>
        <w:t xml:space="preserve">Upon receipt of such notification, AEMO will cease to consider that </w:t>
      </w:r>
      <w:r>
        <w:rPr>
          <w:lang w:eastAsia="en-AU"/>
        </w:rPr>
        <w:t>Tender</w:t>
      </w:r>
      <w:r w:rsidRPr="004D197F">
        <w:rPr>
          <w:lang w:eastAsia="en-AU"/>
        </w:rPr>
        <w:t>.</w:t>
      </w:r>
    </w:p>
    <w:p w14:paraId="69E2C1D1" w14:textId="77777777" w:rsidR="00614849" w:rsidRPr="00A86692" w:rsidRDefault="00614849" w:rsidP="00614849">
      <w:pPr>
        <w:pStyle w:val="ITTHeading2"/>
      </w:pPr>
      <w:r w:rsidRPr="00A86692">
        <w:t>Acceptance Of Tender</w:t>
      </w:r>
    </w:p>
    <w:p w14:paraId="3B3262B1" w14:textId="77777777" w:rsidR="00614849" w:rsidRPr="00A86692" w:rsidRDefault="00614849" w:rsidP="00614849">
      <w:pPr>
        <w:pStyle w:val="BodyText"/>
      </w:pPr>
      <w:r w:rsidRPr="00A86692">
        <w:t xml:space="preserve">No Tender </w:t>
      </w:r>
      <w:r>
        <w:t>is</w:t>
      </w:r>
      <w:r w:rsidRPr="00A86692">
        <w:t xml:space="preserve"> taken to have been accepted by AEMO until notification of acceptance has been given in writing by AEMO to the Tenderer.</w:t>
      </w:r>
    </w:p>
    <w:p w14:paraId="2968903D" w14:textId="77777777" w:rsidR="00CA3661" w:rsidRPr="00A51D09" w:rsidRDefault="00CA3661" w:rsidP="00CA3661">
      <w:pPr>
        <w:pStyle w:val="ITTHeading2"/>
        <w:ind w:left="709" w:hanging="709"/>
      </w:pPr>
      <w:r w:rsidRPr="00A51D09">
        <w:t>Options available to AEMO</w:t>
      </w:r>
    </w:p>
    <w:p w14:paraId="2B724C21" w14:textId="77777777" w:rsidR="00CA3661" w:rsidRPr="007A0EA9" w:rsidRDefault="00CA3661" w:rsidP="00CA3661">
      <w:pPr>
        <w:pStyle w:val="BodyText"/>
        <w:rPr>
          <w:lang w:eastAsia="en-AU"/>
        </w:rPr>
      </w:pPr>
      <w:r w:rsidRPr="007A0EA9">
        <w:rPr>
          <w:lang w:eastAsia="en-AU"/>
        </w:rPr>
        <w:t xml:space="preserve">After evaluation of all </w:t>
      </w:r>
      <w:r>
        <w:rPr>
          <w:lang w:eastAsia="en-AU"/>
        </w:rPr>
        <w:t>Tender</w:t>
      </w:r>
      <w:r w:rsidRPr="007A0EA9">
        <w:rPr>
          <w:lang w:eastAsia="en-AU"/>
        </w:rPr>
        <w:t>s, AEMO may, without limiting other options available to it, do any of the following:</w:t>
      </w:r>
    </w:p>
    <w:p w14:paraId="5ADF4AE7" w14:textId="77777777" w:rsidR="00CA3661" w:rsidRPr="00CE6FA3" w:rsidRDefault="00CA3661" w:rsidP="0072709B">
      <w:pPr>
        <w:pStyle w:val="LRDP12"/>
        <w:numPr>
          <w:ilvl w:val="0"/>
          <w:numId w:val="24"/>
        </w:numPr>
        <w:ind w:left="1276" w:hanging="567"/>
        <w:rPr>
          <w:rFonts w:ascii="Arial Narrow" w:hAnsi="Arial Narrow"/>
        </w:rPr>
      </w:pPr>
      <w:r w:rsidRPr="00CE6FA3">
        <w:rPr>
          <w:rFonts w:ascii="Arial Narrow" w:hAnsi="Arial Narrow"/>
        </w:rPr>
        <w:t>enter into pre-contractual negotiations with one or more Tenderers;</w:t>
      </w:r>
    </w:p>
    <w:p w14:paraId="4349739B" w14:textId="77777777" w:rsidR="00CA3661" w:rsidRPr="00CE6FA3" w:rsidRDefault="00CA3661" w:rsidP="0072709B">
      <w:pPr>
        <w:pStyle w:val="LRDP12"/>
        <w:numPr>
          <w:ilvl w:val="0"/>
          <w:numId w:val="24"/>
        </w:numPr>
        <w:ind w:left="1276" w:hanging="567"/>
        <w:rPr>
          <w:rFonts w:ascii="Arial Narrow" w:hAnsi="Arial Narrow"/>
        </w:rPr>
      </w:pPr>
      <w:r w:rsidRPr="00CE6FA3">
        <w:rPr>
          <w:rFonts w:ascii="Arial Narrow" w:hAnsi="Arial Narrow"/>
        </w:rPr>
        <w:t>decide not to proceed further with the ITT Process or any other procurement for the Services;</w:t>
      </w:r>
      <w:r w:rsidRPr="00CE6FA3" w:rsidDel="00725665">
        <w:rPr>
          <w:rFonts w:ascii="Arial Narrow" w:hAnsi="Arial Narrow"/>
        </w:rPr>
        <w:t xml:space="preserve"> </w:t>
      </w:r>
      <w:r w:rsidRPr="00CE6FA3">
        <w:rPr>
          <w:rFonts w:ascii="Arial Narrow" w:hAnsi="Arial Narrow"/>
        </w:rPr>
        <w:t>or</w:t>
      </w:r>
    </w:p>
    <w:p w14:paraId="73E4EC87" w14:textId="77777777" w:rsidR="00CA3661" w:rsidRPr="00CE6FA3" w:rsidRDefault="00CA3661" w:rsidP="0072709B">
      <w:pPr>
        <w:pStyle w:val="LRDP12"/>
        <w:numPr>
          <w:ilvl w:val="0"/>
          <w:numId w:val="24"/>
        </w:numPr>
        <w:ind w:left="1276" w:hanging="567"/>
        <w:rPr>
          <w:rFonts w:ascii="Arial Narrow" w:hAnsi="Arial Narrow"/>
        </w:rPr>
      </w:pPr>
      <w:r w:rsidRPr="00CE6FA3">
        <w:rPr>
          <w:rFonts w:ascii="Arial Narrow" w:hAnsi="Arial Narrow"/>
        </w:rPr>
        <w:t>commence a new process for calling for responses on a similar or different basis to that outlined in this ITT.</w:t>
      </w:r>
    </w:p>
    <w:p w14:paraId="3052F479" w14:textId="3F3ACD96" w:rsidR="00CA3661" w:rsidRPr="004D197F" w:rsidRDefault="00CA3661" w:rsidP="00CA3661">
      <w:pPr>
        <w:pStyle w:val="ITTHeading2"/>
        <w:ind w:left="709" w:hanging="709"/>
      </w:pPr>
      <w:r w:rsidRPr="004D197F">
        <w:lastRenderedPageBreak/>
        <w:t xml:space="preserve">No obligation </w:t>
      </w:r>
      <w:r>
        <w:t>to shortlist Tenderers</w:t>
      </w:r>
      <w:r w:rsidR="00CE6FA3">
        <w:t xml:space="preserve"> or </w:t>
      </w:r>
      <w:r w:rsidRPr="004D197F">
        <w:t xml:space="preserve">enter into contract </w:t>
      </w:r>
    </w:p>
    <w:p w14:paraId="7979A27E" w14:textId="77777777" w:rsidR="00CA3661" w:rsidRDefault="00CA3661" w:rsidP="00CA3661">
      <w:pPr>
        <w:pStyle w:val="BodyText"/>
        <w:rPr>
          <w:lang w:eastAsia="en-AU"/>
        </w:rPr>
      </w:pPr>
      <w:r>
        <w:rPr>
          <w:lang w:eastAsia="en-AU"/>
        </w:rPr>
        <w:t xml:space="preserve">Notwithstanding the outcome of any evaluation conducted in accordance with this ITT and without limiting any other rights AEMO may have, AEMO is under no obligation to shortlist any Tenderers or to enter into a contract with any shortlisted Tenderer or any other person. </w:t>
      </w:r>
    </w:p>
    <w:p w14:paraId="4A5BA220" w14:textId="62EE2571" w:rsidR="00CA3661" w:rsidRDefault="00CA3661" w:rsidP="00CA3661">
      <w:pPr>
        <w:pStyle w:val="BodyText"/>
        <w:rPr>
          <w:lang w:eastAsia="en-AU"/>
        </w:rPr>
      </w:pPr>
      <w:r w:rsidRPr="0090782D">
        <w:rPr>
          <w:lang w:eastAsia="en-AU"/>
        </w:rPr>
        <w:t xml:space="preserve">Irrespective of whether AEMO shortlists any Tenderers, if AEMO decides not to enter into a contract in relation to any </w:t>
      </w:r>
      <w:r w:rsidR="0090782D" w:rsidRPr="0090782D">
        <w:rPr>
          <w:i/>
          <w:iCs/>
        </w:rPr>
        <w:t>SRAS</w:t>
      </w:r>
      <w:r w:rsidRPr="0090782D">
        <w:rPr>
          <w:lang w:eastAsia="en-AU"/>
        </w:rPr>
        <w:t>, AEMO may, subject to the NEL and NER, proceed with any alternative process to procure the Services.</w:t>
      </w:r>
    </w:p>
    <w:p w14:paraId="38678443" w14:textId="77777777" w:rsidR="00CA3661" w:rsidRPr="00614849" w:rsidRDefault="00CA3661" w:rsidP="00614849">
      <w:pPr>
        <w:pStyle w:val="ITTHeading2"/>
        <w:ind w:left="709" w:hanging="709"/>
      </w:pPr>
      <w:r w:rsidRPr="00614849">
        <w:t>Contract Execution</w:t>
      </w:r>
    </w:p>
    <w:p w14:paraId="4BB4F756" w14:textId="46517C23" w:rsidR="00CA3661" w:rsidRDefault="00CA3661" w:rsidP="00CA3661">
      <w:pPr>
        <w:pStyle w:val="BodyText"/>
      </w:pPr>
      <w:r>
        <w:t xml:space="preserve">AEMO is not bound by the terms of any contract document and has no obligation to acquire the Services unless and until the contract is signed by an authorised officer of AEMO. </w:t>
      </w:r>
    </w:p>
    <w:p w14:paraId="78817E13" w14:textId="77777777" w:rsidR="00CA3661" w:rsidRPr="004D197F" w:rsidRDefault="00CA3661" w:rsidP="00CA3661">
      <w:pPr>
        <w:pStyle w:val="ITTHeading2"/>
        <w:ind w:left="709" w:hanging="709"/>
      </w:pPr>
      <w:r w:rsidRPr="004D197F">
        <w:t>No obligation to debrief</w:t>
      </w:r>
    </w:p>
    <w:p w14:paraId="1ACE84F5" w14:textId="77777777" w:rsidR="00CA3661" w:rsidRPr="004D197F" w:rsidRDefault="00CA3661" w:rsidP="00CA3661">
      <w:pPr>
        <w:pStyle w:val="BodyText"/>
        <w:rPr>
          <w:lang w:eastAsia="en-AU"/>
        </w:rPr>
      </w:pPr>
      <w:r w:rsidRPr="004D197F">
        <w:rPr>
          <w:lang w:eastAsia="en-AU"/>
        </w:rPr>
        <w:t xml:space="preserve">AEMO is under no obligation to debrief any </w:t>
      </w:r>
      <w:r>
        <w:rPr>
          <w:lang w:eastAsia="en-AU"/>
        </w:rPr>
        <w:t>Tenderer</w:t>
      </w:r>
      <w:r w:rsidRPr="004D197F">
        <w:rPr>
          <w:lang w:eastAsia="en-AU"/>
        </w:rPr>
        <w:t xml:space="preserve"> as to AEMO’s evaluation of </w:t>
      </w:r>
      <w:r>
        <w:rPr>
          <w:lang w:eastAsia="en-AU"/>
        </w:rPr>
        <w:t>Tender</w:t>
      </w:r>
      <w:r w:rsidRPr="004D197F">
        <w:rPr>
          <w:lang w:eastAsia="en-AU"/>
        </w:rPr>
        <w:t xml:space="preserve">s, or give any reason for the acceptance or non-acceptance of any </w:t>
      </w:r>
      <w:r>
        <w:rPr>
          <w:lang w:eastAsia="en-AU"/>
        </w:rPr>
        <w:t>Tender</w:t>
      </w:r>
      <w:r w:rsidRPr="004D197F">
        <w:rPr>
          <w:lang w:eastAsia="en-AU"/>
        </w:rPr>
        <w:t>.</w:t>
      </w:r>
    </w:p>
    <w:p w14:paraId="7FCF6DC3" w14:textId="77777777" w:rsidR="00CA3661" w:rsidRPr="00A51D09" w:rsidRDefault="00CA3661" w:rsidP="00CA3661">
      <w:pPr>
        <w:pStyle w:val="ITTHeading2"/>
        <w:numPr>
          <w:ilvl w:val="0"/>
          <w:numId w:val="0"/>
        </w:numPr>
        <w:rPr>
          <w:u w:val="single"/>
        </w:rPr>
      </w:pPr>
      <w:r w:rsidRPr="00A51D09">
        <w:rPr>
          <w:u w:val="single"/>
        </w:rPr>
        <w:t>AEMO’s rights and governing law</w:t>
      </w:r>
    </w:p>
    <w:p w14:paraId="53B2CBF9" w14:textId="77777777" w:rsidR="00CA3661" w:rsidRPr="004D197F" w:rsidRDefault="00CA3661" w:rsidP="00CA3661">
      <w:pPr>
        <w:pStyle w:val="ITTHeading2"/>
        <w:ind w:left="709" w:hanging="709"/>
      </w:pPr>
      <w:r w:rsidRPr="004D197F">
        <w:t>AEMO’s rights</w:t>
      </w:r>
    </w:p>
    <w:p w14:paraId="0D47EC4C" w14:textId="77777777" w:rsidR="00CA3661" w:rsidRPr="007A0EA9" w:rsidRDefault="00CA3661" w:rsidP="00CA3661">
      <w:pPr>
        <w:pStyle w:val="BodyText"/>
        <w:rPr>
          <w:lang w:eastAsia="en-AU"/>
        </w:rPr>
      </w:pPr>
      <w:r w:rsidRPr="007A0EA9">
        <w:rPr>
          <w:lang w:eastAsia="en-AU"/>
        </w:rPr>
        <w:t xml:space="preserve">Notwithstanding anything else in this </w:t>
      </w:r>
      <w:r>
        <w:rPr>
          <w:lang w:eastAsia="en-AU"/>
        </w:rPr>
        <w:t>ITT</w:t>
      </w:r>
      <w:r w:rsidRPr="007A0EA9">
        <w:rPr>
          <w:lang w:eastAsia="en-AU"/>
        </w:rPr>
        <w:t>, and without limiting its rights at law or otherwise, AEMO reserves the right, in its absolute discretion at any time, to:</w:t>
      </w:r>
    </w:p>
    <w:p w14:paraId="1B40D51C" w14:textId="77777777" w:rsidR="00CA3661" w:rsidRPr="000D1E0A" w:rsidRDefault="00CA3661" w:rsidP="0072709B">
      <w:pPr>
        <w:pStyle w:val="LRDP12"/>
        <w:numPr>
          <w:ilvl w:val="0"/>
          <w:numId w:val="22"/>
        </w:numPr>
        <w:ind w:left="1276" w:hanging="567"/>
        <w:rPr>
          <w:rFonts w:ascii="Arial Narrow" w:hAnsi="Arial Narrow"/>
        </w:rPr>
      </w:pPr>
      <w:r w:rsidRPr="000D1E0A">
        <w:rPr>
          <w:rFonts w:ascii="Arial Narrow" w:hAnsi="Arial Narrow"/>
        </w:rPr>
        <w:t>cease to proceed with or suspend or vary the ITT Process;</w:t>
      </w:r>
    </w:p>
    <w:p w14:paraId="213C612D" w14:textId="77777777" w:rsidR="00CA3661" w:rsidRPr="000D1E0A" w:rsidRDefault="00CA3661" w:rsidP="0072709B">
      <w:pPr>
        <w:pStyle w:val="LRDP12"/>
        <w:numPr>
          <w:ilvl w:val="0"/>
          <w:numId w:val="22"/>
        </w:numPr>
        <w:ind w:left="1276" w:hanging="567"/>
        <w:rPr>
          <w:rFonts w:ascii="Arial Narrow" w:hAnsi="Arial Narrow"/>
        </w:rPr>
      </w:pPr>
      <w:r w:rsidRPr="000D1E0A">
        <w:rPr>
          <w:rFonts w:ascii="Arial Narrow" w:hAnsi="Arial Narrow"/>
        </w:rPr>
        <w:t xml:space="preserve">alter the structure of, or vary or extend any time or date specified in, this ITT; </w:t>
      </w:r>
    </w:p>
    <w:p w14:paraId="2468B232" w14:textId="77777777" w:rsidR="00CA3661" w:rsidRPr="000D1E0A" w:rsidRDefault="00CA3661" w:rsidP="0072709B">
      <w:pPr>
        <w:pStyle w:val="LRDP12"/>
        <w:numPr>
          <w:ilvl w:val="0"/>
          <w:numId w:val="22"/>
        </w:numPr>
        <w:ind w:left="1276" w:hanging="567"/>
        <w:rPr>
          <w:rFonts w:ascii="Arial Narrow" w:hAnsi="Arial Narrow"/>
        </w:rPr>
      </w:pPr>
      <w:r w:rsidRPr="000D1E0A">
        <w:rPr>
          <w:rFonts w:ascii="Arial Narrow" w:hAnsi="Arial Narrow"/>
        </w:rPr>
        <w:t>require additional information or clarification from any Tenderer or any other person or provide additional information or clarification;</w:t>
      </w:r>
    </w:p>
    <w:p w14:paraId="5F890081" w14:textId="77777777" w:rsidR="00CA3661" w:rsidRPr="000D1E0A" w:rsidRDefault="00CA3661" w:rsidP="0072709B">
      <w:pPr>
        <w:pStyle w:val="LRDP12"/>
        <w:numPr>
          <w:ilvl w:val="0"/>
          <w:numId w:val="22"/>
        </w:numPr>
        <w:ind w:left="1276" w:hanging="567"/>
        <w:rPr>
          <w:rFonts w:ascii="Arial Narrow" w:hAnsi="Arial Narrow"/>
        </w:rPr>
      </w:pPr>
      <w:r w:rsidRPr="000D1E0A">
        <w:rPr>
          <w:rFonts w:ascii="Arial Narrow" w:hAnsi="Arial Narrow"/>
        </w:rPr>
        <w:t>negotiate with any one or more Tenderer and allow any Tenderer to alter its Tender;</w:t>
      </w:r>
    </w:p>
    <w:p w14:paraId="25E534A0" w14:textId="77777777" w:rsidR="00CA3661" w:rsidRPr="000D1E0A" w:rsidRDefault="00CA3661" w:rsidP="0072709B">
      <w:pPr>
        <w:pStyle w:val="LRDP12"/>
        <w:numPr>
          <w:ilvl w:val="0"/>
          <w:numId w:val="22"/>
        </w:numPr>
        <w:ind w:left="1276" w:hanging="567"/>
        <w:rPr>
          <w:rFonts w:ascii="Arial Narrow" w:hAnsi="Arial Narrow"/>
        </w:rPr>
      </w:pPr>
      <w:r w:rsidRPr="000D1E0A">
        <w:rPr>
          <w:rFonts w:ascii="Arial Narrow" w:hAnsi="Arial Narrow"/>
        </w:rPr>
        <w:t>call for new Tenders;</w:t>
      </w:r>
    </w:p>
    <w:p w14:paraId="652096D8" w14:textId="77777777" w:rsidR="00CA3661" w:rsidRPr="000D1E0A" w:rsidRDefault="00CA3661" w:rsidP="0072709B">
      <w:pPr>
        <w:pStyle w:val="LRDP12"/>
        <w:numPr>
          <w:ilvl w:val="0"/>
          <w:numId w:val="22"/>
        </w:numPr>
        <w:ind w:left="1276" w:hanging="567"/>
        <w:rPr>
          <w:rFonts w:ascii="Arial Narrow" w:hAnsi="Arial Narrow"/>
        </w:rPr>
      </w:pPr>
      <w:r w:rsidRPr="000D1E0A">
        <w:rPr>
          <w:rFonts w:ascii="Arial Narrow" w:hAnsi="Arial Narrow"/>
        </w:rPr>
        <w:t>accept any Tender received after the Closing Date;</w:t>
      </w:r>
    </w:p>
    <w:p w14:paraId="2E47C991" w14:textId="77777777" w:rsidR="00CA3661" w:rsidRPr="000D1E0A" w:rsidRDefault="00CA3661" w:rsidP="0072709B">
      <w:pPr>
        <w:pStyle w:val="LRDP12"/>
        <w:numPr>
          <w:ilvl w:val="0"/>
          <w:numId w:val="22"/>
        </w:numPr>
        <w:ind w:left="1276" w:hanging="567"/>
        <w:rPr>
          <w:rFonts w:ascii="Arial Narrow" w:hAnsi="Arial Narrow"/>
        </w:rPr>
      </w:pPr>
      <w:r w:rsidRPr="000D1E0A">
        <w:rPr>
          <w:rFonts w:ascii="Arial Narrow" w:hAnsi="Arial Narrow"/>
        </w:rPr>
        <w:t>vary or supplement the ITT Rules or other aspects of the ITT;</w:t>
      </w:r>
    </w:p>
    <w:p w14:paraId="130C8523" w14:textId="77777777" w:rsidR="00CA3661" w:rsidRPr="000D1E0A" w:rsidRDefault="00CA3661" w:rsidP="0072709B">
      <w:pPr>
        <w:pStyle w:val="LRDP12"/>
        <w:numPr>
          <w:ilvl w:val="0"/>
          <w:numId w:val="22"/>
        </w:numPr>
        <w:ind w:left="1276" w:hanging="567"/>
        <w:rPr>
          <w:rFonts w:ascii="Arial Narrow" w:hAnsi="Arial Narrow"/>
        </w:rPr>
      </w:pPr>
      <w:r w:rsidRPr="000D1E0A">
        <w:rPr>
          <w:rFonts w:ascii="Arial Narrow" w:hAnsi="Arial Narrow"/>
        </w:rPr>
        <w:t>reject any Tender that does not comply with the requirements of this ITT; and/ or</w:t>
      </w:r>
    </w:p>
    <w:p w14:paraId="625C51CD" w14:textId="77777777" w:rsidR="00CA3661" w:rsidRPr="000D1E0A" w:rsidRDefault="00CA3661" w:rsidP="0072709B">
      <w:pPr>
        <w:pStyle w:val="LRDP12"/>
        <w:numPr>
          <w:ilvl w:val="0"/>
          <w:numId w:val="22"/>
        </w:numPr>
        <w:ind w:left="1276" w:hanging="567"/>
        <w:rPr>
          <w:rFonts w:ascii="Arial Narrow" w:hAnsi="Arial Narrow"/>
        </w:rPr>
      </w:pPr>
      <w:r w:rsidRPr="000D1E0A">
        <w:rPr>
          <w:rFonts w:ascii="Arial Narrow" w:hAnsi="Arial Narrow"/>
        </w:rPr>
        <w:t>terminate the participation of any Tenderer or any other person in the ITT Process,</w:t>
      </w:r>
    </w:p>
    <w:p w14:paraId="0ABB0742" w14:textId="1077FF1E" w:rsidR="00CA3661" w:rsidRPr="004A2ADF" w:rsidRDefault="00CA3661" w:rsidP="000D1E0A">
      <w:pPr>
        <w:pStyle w:val="BodyText"/>
        <w:rPr>
          <w:b/>
        </w:rPr>
      </w:pPr>
      <w:r>
        <w:rPr>
          <w:lang w:eastAsia="en-AU"/>
        </w:rPr>
        <w:t>without giving reasons</w:t>
      </w:r>
      <w:r w:rsidRPr="007A0EA9">
        <w:rPr>
          <w:lang w:eastAsia="en-AU"/>
        </w:rPr>
        <w:t>.</w:t>
      </w:r>
    </w:p>
    <w:p w14:paraId="44122407" w14:textId="77777777" w:rsidR="00CA3661" w:rsidRDefault="00CA3661" w:rsidP="00CA3661">
      <w:pPr>
        <w:pStyle w:val="BodyText"/>
        <w:rPr>
          <w:lang w:eastAsia="en-AU"/>
        </w:rPr>
      </w:pPr>
      <w:r>
        <w:rPr>
          <w:lang w:eastAsia="en-AU"/>
        </w:rPr>
        <w:t xml:space="preserve">Where these ITT Rules contemplate AEMO consenting or approving to some act or thing, </w:t>
      </w:r>
      <w:r w:rsidRPr="0041095F">
        <w:rPr>
          <w:lang w:eastAsia="en-AU"/>
        </w:rPr>
        <w:t xml:space="preserve">AEMO, in its absolute discretion, may withhold </w:t>
      </w:r>
      <w:r>
        <w:rPr>
          <w:lang w:eastAsia="en-AU"/>
        </w:rPr>
        <w:t>consent or approval</w:t>
      </w:r>
      <w:r w:rsidRPr="0041095F">
        <w:rPr>
          <w:lang w:eastAsia="en-AU"/>
        </w:rPr>
        <w:t xml:space="preserve"> or g</w:t>
      </w:r>
      <w:r>
        <w:rPr>
          <w:lang w:eastAsia="en-AU"/>
        </w:rPr>
        <w:t>ive its consent or approval</w:t>
      </w:r>
      <w:r w:rsidRPr="0041095F">
        <w:rPr>
          <w:lang w:eastAsia="en-AU"/>
        </w:rPr>
        <w:t xml:space="preserve"> subject to conditions</w:t>
      </w:r>
      <w:r>
        <w:rPr>
          <w:lang w:eastAsia="en-AU"/>
        </w:rPr>
        <w:t xml:space="preserve"> at its absolute discretion</w:t>
      </w:r>
      <w:r w:rsidRPr="0041095F">
        <w:rPr>
          <w:lang w:eastAsia="en-AU"/>
        </w:rPr>
        <w:t>.</w:t>
      </w:r>
    </w:p>
    <w:p w14:paraId="02B8F4B2" w14:textId="77777777" w:rsidR="00CA3661" w:rsidRPr="004D197F" w:rsidRDefault="00CA3661" w:rsidP="00CA3661">
      <w:pPr>
        <w:pStyle w:val="ITTHeading2"/>
        <w:ind w:left="709" w:hanging="709"/>
      </w:pPr>
      <w:r w:rsidRPr="004D197F">
        <w:t>Governing Law</w:t>
      </w:r>
    </w:p>
    <w:p w14:paraId="0C8FFBAD" w14:textId="77777777" w:rsidR="00CA3661" w:rsidRPr="004D197F" w:rsidRDefault="00CA3661" w:rsidP="00CA3661">
      <w:pPr>
        <w:pStyle w:val="BodyText"/>
        <w:rPr>
          <w:lang w:eastAsia="en-AU"/>
        </w:rPr>
      </w:pPr>
      <w:r w:rsidRPr="004D197F">
        <w:rPr>
          <w:lang w:eastAsia="en-AU"/>
        </w:rPr>
        <w:t xml:space="preserve">This </w:t>
      </w:r>
      <w:r>
        <w:rPr>
          <w:lang w:eastAsia="en-AU"/>
        </w:rPr>
        <w:t>ITT</w:t>
      </w:r>
      <w:r w:rsidRPr="004D197F">
        <w:rPr>
          <w:lang w:eastAsia="en-AU"/>
        </w:rPr>
        <w:t xml:space="preserve"> and the </w:t>
      </w:r>
      <w:r>
        <w:rPr>
          <w:lang w:eastAsia="en-AU"/>
        </w:rPr>
        <w:t>ITT</w:t>
      </w:r>
      <w:r w:rsidRPr="004D197F">
        <w:rPr>
          <w:lang w:eastAsia="en-AU"/>
        </w:rPr>
        <w:t xml:space="preserve"> Process is governed by the laws applying in the State of Victoria.</w:t>
      </w:r>
    </w:p>
    <w:p w14:paraId="0AB6D95F" w14:textId="77777777" w:rsidR="00CA3661" w:rsidRPr="004D197F" w:rsidRDefault="00CA3661" w:rsidP="00CA3661">
      <w:pPr>
        <w:pStyle w:val="BodyText"/>
        <w:rPr>
          <w:lang w:eastAsia="en-AU"/>
        </w:rPr>
      </w:pPr>
      <w:r w:rsidRPr="004D197F">
        <w:rPr>
          <w:lang w:eastAsia="en-AU"/>
        </w:rPr>
        <w:lastRenderedPageBreak/>
        <w:t xml:space="preserve">Each </w:t>
      </w:r>
      <w:r>
        <w:rPr>
          <w:lang w:eastAsia="en-AU"/>
        </w:rPr>
        <w:t>Tenderer</w:t>
      </w:r>
      <w:r w:rsidRPr="004D197F">
        <w:rPr>
          <w:lang w:eastAsia="en-AU"/>
        </w:rPr>
        <w:t xml:space="preserve"> must comply with all relevant laws in preparing and lodging its </w:t>
      </w:r>
      <w:r>
        <w:rPr>
          <w:lang w:eastAsia="en-AU"/>
        </w:rPr>
        <w:t>Tender</w:t>
      </w:r>
      <w:r w:rsidRPr="004D197F">
        <w:rPr>
          <w:lang w:eastAsia="en-AU"/>
        </w:rPr>
        <w:t xml:space="preserve"> and in taking part in the </w:t>
      </w:r>
      <w:r>
        <w:rPr>
          <w:lang w:eastAsia="en-AU"/>
        </w:rPr>
        <w:t>ITT</w:t>
      </w:r>
      <w:r w:rsidRPr="004D197F">
        <w:rPr>
          <w:lang w:eastAsia="en-AU"/>
        </w:rPr>
        <w:t xml:space="preserve"> Process.</w:t>
      </w:r>
    </w:p>
    <w:p w14:paraId="518AEC6E" w14:textId="0BE3F9FF" w:rsidR="00B17D7D" w:rsidRPr="00A86692" w:rsidRDefault="00B17D7D" w:rsidP="00985710">
      <w:pPr>
        <w:pStyle w:val="BodyText"/>
      </w:pPr>
      <w:bookmarkStart w:id="10" w:name="_Toc511019385"/>
      <w:bookmarkStart w:id="11" w:name="_Toc53979243"/>
      <w:bookmarkStart w:id="12" w:name="_Toc136926920"/>
      <w:bookmarkStart w:id="13" w:name="_Toc137014543"/>
      <w:bookmarkStart w:id="14" w:name="_Toc137442194"/>
      <w:bookmarkEnd w:id="5"/>
      <w:bookmarkEnd w:id="6"/>
      <w:bookmarkEnd w:id="7"/>
      <w:bookmarkEnd w:id="8"/>
      <w:bookmarkEnd w:id="9"/>
    </w:p>
    <w:p w14:paraId="7B3B4C3A" w14:textId="77777777" w:rsidR="00F115B6" w:rsidRPr="00A86692" w:rsidRDefault="00B11F15" w:rsidP="00A86692">
      <w:pPr>
        <w:pStyle w:val="ITTHeading1"/>
        <w:shd w:val="clear" w:color="auto" w:fill="auto"/>
        <w:rPr>
          <w:rFonts w:ascii="Arial Narrow" w:hAnsi="Arial Narrow"/>
        </w:rPr>
      </w:pPr>
      <w:bookmarkStart w:id="15" w:name="_Toc137014561"/>
      <w:bookmarkStart w:id="16" w:name="_Toc137442212"/>
      <w:bookmarkStart w:id="17" w:name="_Toc133844112"/>
      <w:bookmarkEnd w:id="10"/>
      <w:bookmarkEnd w:id="11"/>
      <w:bookmarkEnd w:id="12"/>
      <w:bookmarkEnd w:id="13"/>
      <w:bookmarkEnd w:id="14"/>
      <w:r w:rsidRPr="00A86692">
        <w:rPr>
          <w:rFonts w:ascii="Arial Narrow" w:hAnsi="Arial Narrow"/>
        </w:rPr>
        <w:lastRenderedPageBreak/>
        <w:t>TENDER FORM</w:t>
      </w:r>
      <w:bookmarkEnd w:id="15"/>
      <w:bookmarkEnd w:id="16"/>
      <w:bookmarkEnd w:id="17"/>
    </w:p>
    <w:p w14:paraId="2CE84525" w14:textId="77777777" w:rsidR="005B470A" w:rsidRDefault="005B470A" w:rsidP="005B470A">
      <w:pPr>
        <w:spacing w:after="220"/>
        <w:rPr>
          <w:rFonts w:ascii="Arial Narrow" w:hAnsi="Arial Narrow"/>
          <w:b/>
          <w:szCs w:val="22"/>
        </w:rPr>
      </w:pPr>
      <w:r>
        <w:rPr>
          <w:rFonts w:ascii="Arial Narrow" w:hAnsi="Arial Narrow"/>
          <w:b/>
          <w:szCs w:val="22"/>
        </w:rPr>
        <w:t>Note: If the Tenderer is offering multiple Services using different SRAS sources, a separate Tender Form is required for each Service</w:t>
      </w:r>
    </w:p>
    <w:p w14:paraId="228C32D4" w14:textId="06C374D3" w:rsidR="00046FA5" w:rsidRPr="00046FA5" w:rsidRDefault="008D161C" w:rsidP="00046FA5">
      <w:pPr>
        <w:spacing w:after="220"/>
        <w:ind w:left="720" w:hanging="720"/>
        <w:rPr>
          <w:rFonts w:ascii="Arial Narrow" w:hAnsi="Arial Narrow"/>
          <w:szCs w:val="22"/>
        </w:rPr>
      </w:pPr>
      <w:r w:rsidRPr="0064064B">
        <w:rPr>
          <w:rFonts w:ascii="Arial Narrow" w:hAnsi="Arial Narrow"/>
          <w:b/>
          <w:szCs w:val="22"/>
        </w:rPr>
        <w:t>To:</w:t>
      </w:r>
      <w:r w:rsidRPr="00A86692">
        <w:rPr>
          <w:rFonts w:ascii="Arial Narrow" w:hAnsi="Arial Narrow"/>
          <w:szCs w:val="22"/>
        </w:rPr>
        <w:tab/>
      </w:r>
      <w:r w:rsidR="00046FA5" w:rsidRPr="00046FA5">
        <w:t xml:space="preserve"> </w:t>
      </w:r>
      <w:r w:rsidR="007556AD">
        <w:rPr>
          <w:rFonts w:ascii="Arial Narrow" w:hAnsi="Arial Narrow"/>
          <w:szCs w:val="22"/>
        </w:rPr>
        <w:t xml:space="preserve">Ben Macey Operations Commercial Lead </w:t>
      </w:r>
    </w:p>
    <w:p w14:paraId="65B1663E" w14:textId="34B02D28" w:rsidR="008D161C" w:rsidRPr="00A86692" w:rsidRDefault="00046FA5" w:rsidP="00046FA5">
      <w:pPr>
        <w:spacing w:after="220"/>
        <w:ind w:left="720" w:hanging="720"/>
        <w:rPr>
          <w:rFonts w:ascii="Arial Narrow" w:hAnsi="Arial Narrow"/>
          <w:szCs w:val="22"/>
        </w:rPr>
      </w:pPr>
      <w:r w:rsidRPr="00046FA5">
        <w:rPr>
          <w:rFonts w:ascii="Arial Narrow" w:hAnsi="Arial Narrow"/>
          <w:szCs w:val="22"/>
        </w:rPr>
        <w:t xml:space="preserve">Contact: </w:t>
      </w:r>
      <w:r w:rsidR="005B2C81">
        <w:rPr>
          <w:rFonts w:ascii="Arial Narrow" w:hAnsi="Arial Narrow"/>
          <w:szCs w:val="22"/>
        </w:rPr>
        <w:t>S</w:t>
      </w:r>
      <w:r w:rsidR="005B2C81" w:rsidRPr="005B2C81">
        <w:rPr>
          <w:rFonts w:ascii="Arial Narrow" w:hAnsi="Arial Narrow"/>
          <w:szCs w:val="22"/>
        </w:rPr>
        <w:t>RAS.procurement@aemo.com.au</w:t>
      </w:r>
    </w:p>
    <w:p w14:paraId="61AC5581" w14:textId="77777777" w:rsidR="00B5022D" w:rsidRPr="00D0642C" w:rsidRDefault="00D0642C" w:rsidP="00B5022D">
      <w:pPr>
        <w:spacing w:after="220"/>
        <w:jc w:val="center"/>
        <w:rPr>
          <w:rFonts w:ascii="Arial Narrow" w:hAnsi="Arial Narrow"/>
          <w:sz w:val="30"/>
          <w:szCs w:val="30"/>
        </w:rPr>
      </w:pPr>
      <w:r>
        <w:rPr>
          <w:rFonts w:ascii="Arial Narrow" w:hAnsi="Arial Narrow"/>
          <w:b/>
          <w:sz w:val="30"/>
          <w:szCs w:val="30"/>
        </w:rPr>
        <w:t xml:space="preserve">SRAS </w:t>
      </w:r>
      <w:r w:rsidR="00B5022D" w:rsidRPr="00D0642C">
        <w:rPr>
          <w:rFonts w:ascii="Arial Narrow" w:hAnsi="Arial Narrow"/>
          <w:b/>
          <w:sz w:val="30"/>
          <w:szCs w:val="30"/>
        </w:rPr>
        <w:t>T</w:t>
      </w:r>
      <w:r w:rsidR="00695E2A" w:rsidRPr="00D0642C">
        <w:rPr>
          <w:rFonts w:ascii="Arial Narrow" w:hAnsi="Arial Narrow"/>
          <w:b/>
          <w:sz w:val="30"/>
          <w:szCs w:val="30"/>
        </w:rPr>
        <w:t>ENDER</w:t>
      </w:r>
    </w:p>
    <w:p w14:paraId="2B590ECE" w14:textId="77777777" w:rsidR="006018A6" w:rsidRPr="00A86692" w:rsidRDefault="00B5022D" w:rsidP="008D161C">
      <w:pPr>
        <w:spacing w:after="220"/>
        <w:rPr>
          <w:rFonts w:ascii="Arial Narrow" w:hAnsi="Arial Narrow"/>
          <w:b/>
          <w:szCs w:val="22"/>
        </w:rPr>
      </w:pPr>
      <w:r w:rsidRPr="00A86692">
        <w:rPr>
          <w:rFonts w:ascii="Arial Narrow" w:hAnsi="Arial Narrow"/>
          <w:b/>
          <w:szCs w:val="22"/>
        </w:rPr>
        <w:t>From</w:t>
      </w:r>
      <w:r w:rsidR="008D161C" w:rsidRPr="00A86692">
        <w:rPr>
          <w:rFonts w:ascii="Arial Narrow" w:hAnsi="Arial Narrow"/>
          <w:b/>
          <w:szCs w:val="22"/>
        </w:rPr>
        <w:t>:</w:t>
      </w:r>
      <w:r w:rsidR="006B51CE">
        <w:rPr>
          <w:rFonts w:ascii="Arial Narrow" w:hAnsi="Arial Narrow"/>
          <w:b/>
          <w:szCs w:val="22"/>
        </w:rPr>
        <w:t xml:space="preserve"> </w:t>
      </w:r>
    </w:p>
    <w:tbl>
      <w:tblPr>
        <w:tblW w:w="0" w:type="auto"/>
        <w:tblInd w:w="846" w:type="dxa"/>
        <w:tblLook w:val="01E0" w:firstRow="1" w:lastRow="1" w:firstColumn="1" w:lastColumn="1" w:noHBand="0" w:noVBand="0"/>
      </w:tblPr>
      <w:tblGrid>
        <w:gridCol w:w="1934"/>
        <w:gridCol w:w="1801"/>
        <w:gridCol w:w="3517"/>
      </w:tblGrid>
      <w:tr w:rsidR="006018A6" w:rsidRPr="00A86692" w14:paraId="7CF767AE" w14:textId="77777777" w:rsidTr="0090782D">
        <w:tc>
          <w:tcPr>
            <w:tcW w:w="19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99BF9E" w14:textId="77777777" w:rsidR="006018A6" w:rsidRPr="001553A9" w:rsidRDefault="006018A6" w:rsidP="0064064B">
            <w:pPr>
              <w:spacing w:before="60" w:after="60"/>
              <w:rPr>
                <w:rFonts w:ascii="Arial Narrow" w:hAnsi="Arial Narrow"/>
                <w:b/>
                <w:szCs w:val="22"/>
              </w:rPr>
            </w:pPr>
            <w:r w:rsidRPr="001553A9">
              <w:rPr>
                <w:rFonts w:ascii="Arial Narrow" w:hAnsi="Arial Narrow"/>
                <w:b/>
                <w:szCs w:val="22"/>
              </w:rPr>
              <w:t>Tenderer:</w:t>
            </w:r>
          </w:p>
        </w:tc>
        <w:tc>
          <w:tcPr>
            <w:tcW w:w="5318" w:type="dxa"/>
            <w:gridSpan w:val="2"/>
            <w:tcBorders>
              <w:top w:val="single" w:sz="4" w:space="0" w:color="auto"/>
              <w:left w:val="single" w:sz="4" w:space="0" w:color="auto"/>
              <w:bottom w:val="single" w:sz="4" w:space="0" w:color="auto"/>
              <w:right w:val="single" w:sz="4" w:space="0" w:color="auto"/>
            </w:tcBorders>
          </w:tcPr>
          <w:p w14:paraId="2F58CE84" w14:textId="77777777" w:rsidR="006018A6" w:rsidRPr="00A86692" w:rsidRDefault="006018A6" w:rsidP="006354AC">
            <w:pPr>
              <w:spacing w:after="220"/>
              <w:rPr>
                <w:rFonts w:ascii="Arial Narrow" w:hAnsi="Arial Narrow"/>
                <w:szCs w:val="22"/>
              </w:rPr>
            </w:pPr>
          </w:p>
        </w:tc>
      </w:tr>
      <w:tr w:rsidR="00A853CA" w:rsidRPr="00A86692" w14:paraId="17D5AED8" w14:textId="77777777" w:rsidTr="0090782D">
        <w:tc>
          <w:tcPr>
            <w:tcW w:w="19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517439" w14:textId="77777777" w:rsidR="00A853CA" w:rsidRPr="001553A9" w:rsidRDefault="00A853CA" w:rsidP="0064064B">
            <w:pPr>
              <w:spacing w:before="60" w:after="60"/>
              <w:rPr>
                <w:rFonts w:ascii="Arial Narrow" w:hAnsi="Arial Narrow"/>
                <w:b/>
                <w:szCs w:val="22"/>
              </w:rPr>
            </w:pPr>
            <w:r w:rsidRPr="001553A9">
              <w:rPr>
                <w:rFonts w:ascii="Arial Narrow" w:hAnsi="Arial Narrow"/>
                <w:b/>
                <w:szCs w:val="22"/>
              </w:rPr>
              <w:t>ABN:</w:t>
            </w:r>
          </w:p>
        </w:tc>
        <w:tc>
          <w:tcPr>
            <w:tcW w:w="5318" w:type="dxa"/>
            <w:gridSpan w:val="2"/>
            <w:tcBorders>
              <w:top w:val="single" w:sz="4" w:space="0" w:color="auto"/>
              <w:left w:val="single" w:sz="4" w:space="0" w:color="auto"/>
              <w:bottom w:val="single" w:sz="4" w:space="0" w:color="auto"/>
              <w:right w:val="single" w:sz="4" w:space="0" w:color="auto"/>
            </w:tcBorders>
          </w:tcPr>
          <w:p w14:paraId="61E48BD7" w14:textId="77777777" w:rsidR="00A853CA" w:rsidRPr="00A86692" w:rsidRDefault="00A853CA" w:rsidP="006354AC">
            <w:pPr>
              <w:spacing w:after="220"/>
              <w:rPr>
                <w:rFonts w:ascii="Arial Narrow" w:hAnsi="Arial Narrow"/>
                <w:szCs w:val="22"/>
              </w:rPr>
            </w:pPr>
          </w:p>
        </w:tc>
      </w:tr>
      <w:tr w:rsidR="006018A6" w:rsidRPr="00A86692" w14:paraId="19FD213C" w14:textId="77777777" w:rsidTr="0090782D">
        <w:tc>
          <w:tcPr>
            <w:tcW w:w="19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A151FB" w14:textId="77777777" w:rsidR="006018A6" w:rsidRPr="001553A9" w:rsidRDefault="006018A6" w:rsidP="0064064B">
            <w:pPr>
              <w:spacing w:before="60" w:after="60"/>
              <w:rPr>
                <w:rFonts w:ascii="Arial Narrow" w:hAnsi="Arial Narrow"/>
                <w:b/>
                <w:szCs w:val="22"/>
              </w:rPr>
            </w:pPr>
            <w:r w:rsidRPr="001553A9">
              <w:rPr>
                <w:rFonts w:ascii="Arial Narrow" w:hAnsi="Arial Narrow"/>
                <w:b/>
                <w:szCs w:val="22"/>
              </w:rPr>
              <w:t>Address:</w:t>
            </w:r>
          </w:p>
        </w:tc>
        <w:tc>
          <w:tcPr>
            <w:tcW w:w="5318" w:type="dxa"/>
            <w:gridSpan w:val="2"/>
            <w:tcBorders>
              <w:top w:val="single" w:sz="4" w:space="0" w:color="auto"/>
              <w:left w:val="single" w:sz="4" w:space="0" w:color="auto"/>
              <w:bottom w:val="single" w:sz="4" w:space="0" w:color="auto"/>
              <w:right w:val="single" w:sz="4" w:space="0" w:color="auto"/>
            </w:tcBorders>
          </w:tcPr>
          <w:p w14:paraId="76D30F41" w14:textId="77777777" w:rsidR="006018A6" w:rsidRPr="00A86692" w:rsidRDefault="006018A6" w:rsidP="006354AC">
            <w:pPr>
              <w:spacing w:after="220"/>
              <w:rPr>
                <w:rFonts w:ascii="Arial Narrow" w:hAnsi="Arial Narrow"/>
                <w:szCs w:val="22"/>
              </w:rPr>
            </w:pPr>
          </w:p>
        </w:tc>
      </w:tr>
      <w:tr w:rsidR="00A853CA" w:rsidRPr="00A86692" w14:paraId="71EA93C7" w14:textId="77777777" w:rsidTr="0090782D">
        <w:tc>
          <w:tcPr>
            <w:tcW w:w="1934" w:type="dxa"/>
            <w:tcBorders>
              <w:top w:val="single" w:sz="4" w:space="0" w:color="auto"/>
              <w:left w:val="single" w:sz="4" w:space="0" w:color="auto"/>
              <w:right w:val="single" w:sz="4" w:space="0" w:color="auto"/>
            </w:tcBorders>
            <w:shd w:val="clear" w:color="auto" w:fill="F2F2F2" w:themeFill="background1" w:themeFillShade="F2"/>
          </w:tcPr>
          <w:p w14:paraId="1EF0AE93" w14:textId="77777777" w:rsidR="00A853CA" w:rsidRPr="001553A9" w:rsidRDefault="00A853CA" w:rsidP="0064064B">
            <w:pPr>
              <w:spacing w:before="60" w:after="60"/>
              <w:rPr>
                <w:rFonts w:ascii="Arial Narrow" w:hAnsi="Arial Narrow"/>
                <w:b/>
                <w:szCs w:val="22"/>
              </w:rPr>
            </w:pPr>
            <w:r w:rsidRPr="001553A9">
              <w:rPr>
                <w:rFonts w:ascii="Arial Narrow" w:hAnsi="Arial Narrow"/>
                <w:b/>
                <w:szCs w:val="22"/>
              </w:rPr>
              <w:t>Contact Person:</w:t>
            </w:r>
          </w:p>
        </w:tc>
        <w:tc>
          <w:tcPr>
            <w:tcW w:w="1801" w:type="dxa"/>
            <w:tcBorders>
              <w:top w:val="single" w:sz="4" w:space="0" w:color="auto"/>
              <w:left w:val="single" w:sz="4" w:space="0" w:color="auto"/>
              <w:bottom w:val="single" w:sz="4" w:space="0" w:color="auto"/>
              <w:right w:val="single" w:sz="4" w:space="0" w:color="auto"/>
            </w:tcBorders>
          </w:tcPr>
          <w:p w14:paraId="12660496" w14:textId="77777777" w:rsidR="00A853CA" w:rsidRPr="00A86692" w:rsidRDefault="00A853CA" w:rsidP="0064064B">
            <w:pPr>
              <w:spacing w:before="60" w:after="60"/>
              <w:rPr>
                <w:rFonts w:ascii="Arial Narrow" w:hAnsi="Arial Narrow"/>
                <w:szCs w:val="22"/>
              </w:rPr>
            </w:pPr>
            <w:r w:rsidRPr="00A86692">
              <w:rPr>
                <w:rFonts w:ascii="Arial Narrow" w:hAnsi="Arial Narrow"/>
                <w:szCs w:val="22"/>
              </w:rPr>
              <w:t>Name:</w:t>
            </w:r>
          </w:p>
        </w:tc>
        <w:tc>
          <w:tcPr>
            <w:tcW w:w="3517" w:type="dxa"/>
            <w:tcBorders>
              <w:top w:val="single" w:sz="4" w:space="0" w:color="auto"/>
              <w:left w:val="single" w:sz="4" w:space="0" w:color="auto"/>
              <w:bottom w:val="single" w:sz="4" w:space="0" w:color="auto"/>
              <w:right w:val="single" w:sz="4" w:space="0" w:color="auto"/>
            </w:tcBorders>
          </w:tcPr>
          <w:p w14:paraId="6ECAB765" w14:textId="77777777" w:rsidR="00A853CA" w:rsidRPr="00A86692" w:rsidRDefault="00A853CA" w:rsidP="006354AC">
            <w:pPr>
              <w:spacing w:after="220"/>
              <w:rPr>
                <w:rFonts w:ascii="Arial Narrow" w:hAnsi="Arial Narrow"/>
                <w:szCs w:val="22"/>
              </w:rPr>
            </w:pPr>
          </w:p>
        </w:tc>
      </w:tr>
      <w:tr w:rsidR="00A853CA" w:rsidRPr="00A86692" w14:paraId="1CFB30BC" w14:textId="77777777" w:rsidTr="0090782D">
        <w:tc>
          <w:tcPr>
            <w:tcW w:w="1934" w:type="dxa"/>
            <w:tcBorders>
              <w:left w:val="single" w:sz="4" w:space="0" w:color="auto"/>
              <w:right w:val="single" w:sz="4" w:space="0" w:color="auto"/>
            </w:tcBorders>
            <w:shd w:val="clear" w:color="auto" w:fill="F2F2F2" w:themeFill="background1" w:themeFillShade="F2"/>
          </w:tcPr>
          <w:p w14:paraId="4F341D52" w14:textId="77777777" w:rsidR="00A853CA" w:rsidRPr="001553A9" w:rsidRDefault="00A853CA" w:rsidP="006354AC">
            <w:pPr>
              <w:spacing w:after="220"/>
              <w:rPr>
                <w:rFonts w:ascii="Arial Narrow" w:hAnsi="Arial Narrow"/>
                <w:b/>
                <w:szCs w:val="22"/>
              </w:rPr>
            </w:pPr>
          </w:p>
        </w:tc>
        <w:tc>
          <w:tcPr>
            <w:tcW w:w="1801" w:type="dxa"/>
            <w:tcBorders>
              <w:top w:val="single" w:sz="4" w:space="0" w:color="auto"/>
              <w:left w:val="single" w:sz="4" w:space="0" w:color="auto"/>
              <w:bottom w:val="single" w:sz="4" w:space="0" w:color="auto"/>
              <w:right w:val="single" w:sz="4" w:space="0" w:color="auto"/>
            </w:tcBorders>
          </w:tcPr>
          <w:p w14:paraId="1D55BF83" w14:textId="77777777" w:rsidR="00A853CA" w:rsidRPr="00A86692" w:rsidRDefault="00A853CA" w:rsidP="0064064B">
            <w:pPr>
              <w:spacing w:before="60" w:after="60"/>
              <w:rPr>
                <w:rFonts w:ascii="Arial Narrow" w:hAnsi="Arial Narrow"/>
                <w:szCs w:val="22"/>
              </w:rPr>
            </w:pPr>
            <w:r w:rsidRPr="00A86692">
              <w:rPr>
                <w:rFonts w:ascii="Arial Narrow" w:hAnsi="Arial Narrow"/>
                <w:szCs w:val="22"/>
              </w:rPr>
              <w:t>Title:</w:t>
            </w:r>
          </w:p>
        </w:tc>
        <w:tc>
          <w:tcPr>
            <w:tcW w:w="3517" w:type="dxa"/>
            <w:tcBorders>
              <w:top w:val="single" w:sz="4" w:space="0" w:color="auto"/>
              <w:left w:val="single" w:sz="4" w:space="0" w:color="auto"/>
              <w:bottom w:val="single" w:sz="4" w:space="0" w:color="auto"/>
              <w:right w:val="single" w:sz="4" w:space="0" w:color="auto"/>
            </w:tcBorders>
          </w:tcPr>
          <w:p w14:paraId="7DA0CD91" w14:textId="77777777" w:rsidR="00A853CA" w:rsidRPr="00A86692" w:rsidRDefault="00A853CA" w:rsidP="006354AC">
            <w:pPr>
              <w:spacing w:after="220"/>
              <w:rPr>
                <w:rFonts w:ascii="Arial Narrow" w:hAnsi="Arial Narrow"/>
                <w:szCs w:val="22"/>
              </w:rPr>
            </w:pPr>
          </w:p>
        </w:tc>
      </w:tr>
      <w:tr w:rsidR="00A853CA" w:rsidRPr="00A86692" w14:paraId="4CD22B18" w14:textId="77777777" w:rsidTr="0090782D">
        <w:tc>
          <w:tcPr>
            <w:tcW w:w="1934" w:type="dxa"/>
            <w:tcBorders>
              <w:left w:val="single" w:sz="4" w:space="0" w:color="auto"/>
              <w:right w:val="single" w:sz="4" w:space="0" w:color="auto"/>
            </w:tcBorders>
            <w:shd w:val="clear" w:color="auto" w:fill="F2F2F2" w:themeFill="background1" w:themeFillShade="F2"/>
          </w:tcPr>
          <w:p w14:paraId="6B8955EA" w14:textId="77777777" w:rsidR="00A853CA" w:rsidRPr="001553A9" w:rsidRDefault="00A853CA" w:rsidP="006354AC">
            <w:pPr>
              <w:spacing w:after="220"/>
              <w:rPr>
                <w:rFonts w:ascii="Arial Narrow" w:hAnsi="Arial Narrow"/>
                <w:b/>
                <w:szCs w:val="22"/>
              </w:rPr>
            </w:pPr>
          </w:p>
        </w:tc>
        <w:tc>
          <w:tcPr>
            <w:tcW w:w="1801" w:type="dxa"/>
            <w:tcBorders>
              <w:top w:val="single" w:sz="4" w:space="0" w:color="auto"/>
              <w:left w:val="single" w:sz="4" w:space="0" w:color="auto"/>
              <w:bottom w:val="single" w:sz="4" w:space="0" w:color="auto"/>
              <w:right w:val="single" w:sz="4" w:space="0" w:color="auto"/>
            </w:tcBorders>
          </w:tcPr>
          <w:p w14:paraId="0EB1E600" w14:textId="77777777" w:rsidR="00A853CA" w:rsidRPr="00A86692" w:rsidRDefault="00A853CA" w:rsidP="0064064B">
            <w:pPr>
              <w:spacing w:before="60" w:after="60"/>
              <w:rPr>
                <w:rFonts w:ascii="Arial Narrow" w:hAnsi="Arial Narrow"/>
                <w:szCs w:val="22"/>
              </w:rPr>
            </w:pPr>
            <w:r w:rsidRPr="00A86692">
              <w:rPr>
                <w:rFonts w:ascii="Arial Narrow" w:hAnsi="Arial Narrow"/>
                <w:szCs w:val="22"/>
              </w:rPr>
              <w:t>Telephone No:</w:t>
            </w:r>
          </w:p>
        </w:tc>
        <w:tc>
          <w:tcPr>
            <w:tcW w:w="3517" w:type="dxa"/>
            <w:tcBorders>
              <w:top w:val="single" w:sz="4" w:space="0" w:color="auto"/>
              <w:left w:val="single" w:sz="4" w:space="0" w:color="auto"/>
              <w:bottom w:val="single" w:sz="4" w:space="0" w:color="auto"/>
              <w:right w:val="single" w:sz="4" w:space="0" w:color="auto"/>
            </w:tcBorders>
          </w:tcPr>
          <w:p w14:paraId="59D1485E" w14:textId="77777777" w:rsidR="00A853CA" w:rsidRPr="00A86692" w:rsidRDefault="00A853CA" w:rsidP="006354AC">
            <w:pPr>
              <w:spacing w:after="220"/>
              <w:rPr>
                <w:rFonts w:ascii="Arial Narrow" w:hAnsi="Arial Narrow"/>
                <w:szCs w:val="22"/>
              </w:rPr>
            </w:pPr>
          </w:p>
        </w:tc>
      </w:tr>
      <w:tr w:rsidR="00A853CA" w:rsidRPr="00A86692" w14:paraId="478AF04C" w14:textId="77777777" w:rsidTr="0090782D">
        <w:tc>
          <w:tcPr>
            <w:tcW w:w="1934" w:type="dxa"/>
            <w:tcBorders>
              <w:left w:val="single" w:sz="4" w:space="0" w:color="auto"/>
              <w:bottom w:val="single" w:sz="4" w:space="0" w:color="auto"/>
              <w:right w:val="single" w:sz="4" w:space="0" w:color="auto"/>
            </w:tcBorders>
            <w:shd w:val="clear" w:color="auto" w:fill="F2F2F2" w:themeFill="background1" w:themeFillShade="F2"/>
          </w:tcPr>
          <w:p w14:paraId="6E4F7B3D" w14:textId="77777777" w:rsidR="00A853CA" w:rsidRPr="001553A9" w:rsidRDefault="00A853CA" w:rsidP="006354AC">
            <w:pPr>
              <w:spacing w:after="220"/>
              <w:rPr>
                <w:rFonts w:ascii="Arial Narrow" w:hAnsi="Arial Narrow"/>
                <w:b/>
                <w:szCs w:val="22"/>
              </w:rPr>
            </w:pPr>
          </w:p>
        </w:tc>
        <w:tc>
          <w:tcPr>
            <w:tcW w:w="1801" w:type="dxa"/>
            <w:tcBorders>
              <w:top w:val="single" w:sz="4" w:space="0" w:color="auto"/>
              <w:left w:val="single" w:sz="4" w:space="0" w:color="auto"/>
              <w:bottom w:val="single" w:sz="4" w:space="0" w:color="auto"/>
              <w:right w:val="single" w:sz="4" w:space="0" w:color="auto"/>
            </w:tcBorders>
          </w:tcPr>
          <w:p w14:paraId="7A37C13A" w14:textId="77777777" w:rsidR="00A853CA" w:rsidRPr="00A86692" w:rsidRDefault="00A853CA" w:rsidP="0064064B">
            <w:pPr>
              <w:spacing w:before="60" w:after="60"/>
              <w:rPr>
                <w:rFonts w:ascii="Arial Narrow" w:hAnsi="Arial Narrow"/>
                <w:szCs w:val="22"/>
              </w:rPr>
            </w:pPr>
            <w:r w:rsidRPr="00A86692">
              <w:rPr>
                <w:rFonts w:ascii="Arial Narrow" w:hAnsi="Arial Narrow"/>
                <w:szCs w:val="22"/>
              </w:rPr>
              <w:t>E-mail:</w:t>
            </w:r>
          </w:p>
        </w:tc>
        <w:tc>
          <w:tcPr>
            <w:tcW w:w="3517" w:type="dxa"/>
            <w:tcBorders>
              <w:top w:val="single" w:sz="4" w:space="0" w:color="auto"/>
              <w:left w:val="single" w:sz="4" w:space="0" w:color="auto"/>
              <w:bottom w:val="single" w:sz="4" w:space="0" w:color="auto"/>
              <w:right w:val="single" w:sz="4" w:space="0" w:color="auto"/>
            </w:tcBorders>
          </w:tcPr>
          <w:p w14:paraId="47FCC7D4" w14:textId="77777777" w:rsidR="00A853CA" w:rsidRPr="00A86692" w:rsidRDefault="00A853CA" w:rsidP="006354AC">
            <w:pPr>
              <w:spacing w:after="220"/>
              <w:rPr>
                <w:rFonts w:ascii="Arial Narrow" w:hAnsi="Arial Narrow"/>
                <w:szCs w:val="22"/>
              </w:rPr>
            </w:pPr>
          </w:p>
        </w:tc>
      </w:tr>
    </w:tbl>
    <w:p w14:paraId="38317D1C" w14:textId="77777777" w:rsidR="008D161C" w:rsidRPr="00574D3E" w:rsidRDefault="008D161C" w:rsidP="0072709B">
      <w:pPr>
        <w:pStyle w:val="AEMONumberedlist"/>
        <w:numPr>
          <w:ilvl w:val="0"/>
          <w:numId w:val="7"/>
        </w:numPr>
        <w:rPr>
          <w:rFonts w:ascii="Arial Narrow" w:hAnsi="Arial Narrow"/>
          <w:b/>
          <w:color w:val="auto"/>
        </w:rPr>
      </w:pPr>
      <w:bookmarkStart w:id="18" w:name="_Toc136926939"/>
      <w:r w:rsidRPr="00574D3E">
        <w:rPr>
          <w:rFonts w:ascii="Arial Narrow" w:hAnsi="Arial Narrow"/>
          <w:b/>
          <w:color w:val="auto"/>
        </w:rPr>
        <w:t>Offer</w:t>
      </w:r>
      <w:bookmarkEnd w:id="18"/>
    </w:p>
    <w:p w14:paraId="5D996B6B" w14:textId="05271D0E" w:rsidR="008D161C" w:rsidRPr="00574D3E" w:rsidRDefault="008D161C" w:rsidP="0064064B">
      <w:pPr>
        <w:pStyle w:val="BodyText"/>
      </w:pPr>
      <w:r w:rsidRPr="00574D3E">
        <w:t xml:space="preserve">The Tenderer </w:t>
      </w:r>
      <w:r w:rsidR="00715450" w:rsidRPr="00574D3E">
        <w:t>offers</w:t>
      </w:r>
      <w:r w:rsidRPr="00574D3E">
        <w:t xml:space="preserve"> to provide </w:t>
      </w:r>
      <w:r w:rsidR="00A853CA" w:rsidRPr="00574D3E">
        <w:t xml:space="preserve">the </w:t>
      </w:r>
      <w:r w:rsidR="0090782D" w:rsidRPr="00172AFA">
        <w:rPr>
          <w:i/>
          <w:iCs/>
        </w:rPr>
        <w:t>SRAS</w:t>
      </w:r>
      <w:r w:rsidRPr="00574D3E">
        <w:t xml:space="preserve"> </w:t>
      </w:r>
      <w:r w:rsidR="00BA066D" w:rsidRPr="00574D3E">
        <w:t xml:space="preserve">described in </w:t>
      </w:r>
      <w:r w:rsidR="00BA066D" w:rsidRPr="00574D3E">
        <w:rPr>
          <w:b/>
        </w:rPr>
        <w:t>Schedule 2</w:t>
      </w:r>
      <w:r w:rsidR="00DC397A">
        <w:rPr>
          <w:b/>
        </w:rPr>
        <w:t xml:space="preserve"> </w:t>
      </w:r>
      <w:r w:rsidR="00DC397A" w:rsidRPr="0090782D">
        <w:rPr>
          <w:bCs/>
        </w:rPr>
        <w:t xml:space="preserve">and/or </w:t>
      </w:r>
      <w:r w:rsidR="004231F9" w:rsidRPr="0090782D">
        <w:rPr>
          <w:bCs/>
        </w:rPr>
        <w:t xml:space="preserve">expresses an interest to provide the </w:t>
      </w:r>
      <w:r w:rsidR="0090782D" w:rsidRPr="0090782D">
        <w:rPr>
          <w:bCs/>
        </w:rPr>
        <w:t xml:space="preserve">Restoration Support </w:t>
      </w:r>
      <w:r w:rsidR="004231F9" w:rsidRPr="0090782D">
        <w:rPr>
          <w:bCs/>
        </w:rPr>
        <w:t xml:space="preserve">Service described in </w:t>
      </w:r>
      <w:r w:rsidR="00DC397A">
        <w:rPr>
          <w:b/>
        </w:rPr>
        <w:t>Schedule 6</w:t>
      </w:r>
      <w:r w:rsidR="003C508F" w:rsidRPr="00574D3E">
        <w:rPr>
          <w:rStyle w:val="FootnoteReference"/>
        </w:rPr>
        <w:footnoteReference w:id="3"/>
      </w:r>
      <w:r w:rsidR="003C508F" w:rsidRPr="00574D3E">
        <w:t xml:space="preserve"> </w:t>
      </w:r>
      <w:r w:rsidR="00BA066D" w:rsidRPr="00574D3E">
        <w:rPr>
          <w:b/>
        </w:rPr>
        <w:t xml:space="preserve"> </w:t>
      </w:r>
      <w:r w:rsidRPr="00574D3E">
        <w:t>in accordance with the requirements of th</w:t>
      </w:r>
      <w:r w:rsidR="00212C42" w:rsidRPr="00574D3E">
        <w:t>e</w:t>
      </w:r>
      <w:r w:rsidRPr="00574D3E">
        <w:t xml:space="preserve"> ITT as specified in the Statement of Compliance</w:t>
      </w:r>
      <w:r w:rsidR="00B5022D" w:rsidRPr="00574D3E">
        <w:t xml:space="preserve"> in </w:t>
      </w:r>
      <w:r w:rsidR="00B5022D" w:rsidRPr="00574D3E">
        <w:rPr>
          <w:b/>
        </w:rPr>
        <w:t>Schedule 1</w:t>
      </w:r>
      <w:r w:rsidR="00B5022D" w:rsidRPr="00574D3E">
        <w:t>.</w:t>
      </w:r>
      <w:r w:rsidR="006B51CE" w:rsidRPr="00574D3E">
        <w:t xml:space="preserve"> </w:t>
      </w:r>
      <w:r w:rsidR="00B5022D" w:rsidRPr="00574D3E">
        <w:t xml:space="preserve">The Tenderer must ensure the </w:t>
      </w:r>
      <w:r w:rsidR="003A1331" w:rsidRPr="00574D3E">
        <w:t xml:space="preserve">PDF and Word (or Excel) versions </w:t>
      </w:r>
      <w:r w:rsidR="00B5022D" w:rsidRPr="00574D3E">
        <w:t>of its Tender are identical</w:t>
      </w:r>
      <w:r w:rsidR="003A1331" w:rsidRPr="00574D3E">
        <w:rPr>
          <w:rStyle w:val="FootnoteReference"/>
        </w:rPr>
        <w:footnoteReference w:id="4"/>
      </w:r>
      <w:r w:rsidR="00B5022D" w:rsidRPr="00574D3E">
        <w:t xml:space="preserve"> and agrees that </w:t>
      </w:r>
      <w:r w:rsidR="00A86692" w:rsidRPr="00574D3E">
        <w:t>AEMO</w:t>
      </w:r>
      <w:r w:rsidR="00B5022D" w:rsidRPr="00574D3E">
        <w:t xml:space="preserve"> may rely on either version when evaluating this Tender</w:t>
      </w:r>
      <w:r w:rsidR="00212C42" w:rsidRPr="00574D3E">
        <w:t>.</w:t>
      </w:r>
    </w:p>
    <w:p w14:paraId="61BAD650" w14:textId="77777777" w:rsidR="006018A6" w:rsidRPr="00574D3E" w:rsidRDefault="006018A6" w:rsidP="0072709B">
      <w:pPr>
        <w:pStyle w:val="AEMONumberedlist"/>
        <w:rPr>
          <w:rFonts w:ascii="Arial Narrow" w:hAnsi="Arial Narrow"/>
          <w:b/>
          <w:bCs/>
          <w:color w:val="auto"/>
        </w:rPr>
      </w:pPr>
      <w:r w:rsidRPr="00574D3E">
        <w:rPr>
          <w:rFonts w:ascii="Arial Narrow" w:hAnsi="Arial Narrow"/>
          <w:b/>
          <w:color w:val="auto"/>
        </w:rPr>
        <w:t>Agency/Joint Tender</w:t>
      </w:r>
    </w:p>
    <w:p w14:paraId="57BCB139" w14:textId="77777777" w:rsidR="006018A6" w:rsidRPr="00574D3E" w:rsidRDefault="006018A6" w:rsidP="0064064B">
      <w:pPr>
        <w:pStyle w:val="BodyText"/>
      </w:pPr>
      <w:r w:rsidRPr="00574D3E">
        <w:t>The Tenderer is/is not</w:t>
      </w:r>
      <w:r w:rsidR="0042012F" w:rsidRPr="00574D3E">
        <w:rPr>
          <w:rStyle w:val="FootnoteReference"/>
        </w:rPr>
        <w:footnoteReference w:id="5"/>
      </w:r>
      <w:r w:rsidRPr="00574D3E">
        <w:t xml:space="preserve"> acting as agent or trustee for another person, or lodging a Tender jointly with other persons.</w:t>
      </w:r>
    </w:p>
    <w:p w14:paraId="7CE7C2B4" w14:textId="77777777" w:rsidR="006018A6" w:rsidRDefault="006018A6" w:rsidP="0064064B">
      <w:pPr>
        <w:pStyle w:val="BodyText"/>
      </w:pPr>
      <w:r w:rsidRPr="00574D3E">
        <w:t>(If the Tender</w:t>
      </w:r>
      <w:r w:rsidR="008C2F9B" w:rsidRPr="00574D3E">
        <w:t>er</w:t>
      </w:r>
      <w:r w:rsidRPr="00574D3E">
        <w:t xml:space="preserve"> is acting as </w:t>
      </w:r>
      <w:r w:rsidR="0042012F" w:rsidRPr="00574D3E">
        <w:t>an agent or trustee</w:t>
      </w:r>
      <w:r w:rsidRPr="00574D3E">
        <w:t>, full details must be provided in this section)</w:t>
      </w:r>
    </w:p>
    <w:p w14:paraId="4E212C5E" w14:textId="77777777" w:rsidR="001945D0" w:rsidRDefault="001945D0" w:rsidP="0064064B">
      <w:pPr>
        <w:pStyle w:val="BodyText"/>
      </w:pPr>
    </w:p>
    <w:p w14:paraId="5186228A" w14:textId="77777777" w:rsidR="001945D0" w:rsidRPr="00574D3E" w:rsidRDefault="001945D0" w:rsidP="0064064B">
      <w:pPr>
        <w:pStyle w:val="BodyText"/>
      </w:pPr>
    </w:p>
    <w:p w14:paraId="62255BEA" w14:textId="2CE37930" w:rsidR="00FE557F" w:rsidRPr="00574D3E" w:rsidRDefault="00FE557F" w:rsidP="0072709B">
      <w:pPr>
        <w:pStyle w:val="AEMONumberedlist"/>
        <w:rPr>
          <w:rFonts w:ascii="Arial Narrow" w:hAnsi="Arial Narrow"/>
          <w:b/>
          <w:color w:val="auto"/>
        </w:rPr>
      </w:pPr>
      <w:r w:rsidRPr="00574D3E">
        <w:rPr>
          <w:rFonts w:ascii="Arial Narrow" w:hAnsi="Arial Narrow"/>
          <w:b/>
          <w:color w:val="auto"/>
        </w:rPr>
        <w:lastRenderedPageBreak/>
        <w:t>Service and Prices</w:t>
      </w:r>
    </w:p>
    <w:p w14:paraId="4E4408D5" w14:textId="6887A38C" w:rsidR="005B470A" w:rsidRPr="00574D3E" w:rsidRDefault="00FE557F" w:rsidP="005B470A">
      <w:pPr>
        <w:pStyle w:val="BodyText"/>
      </w:pPr>
      <w:r w:rsidRPr="00574D3E">
        <w:t xml:space="preserve">Should AEMO accept </w:t>
      </w:r>
      <w:r w:rsidR="001E49C7" w:rsidRPr="00574D3E">
        <w:t>the Tenderer’s offer</w:t>
      </w:r>
      <w:r w:rsidR="00DC397A">
        <w:t xml:space="preserve"> </w:t>
      </w:r>
      <w:r w:rsidR="00EB45E8">
        <w:t>specified</w:t>
      </w:r>
      <w:r w:rsidR="00B24CE5">
        <w:t xml:space="preserve"> in</w:t>
      </w:r>
      <w:r w:rsidR="00DC397A">
        <w:t xml:space="preserve"> </w:t>
      </w:r>
      <w:r w:rsidR="00DC397A" w:rsidRPr="0090782D">
        <w:rPr>
          <w:b/>
          <w:bCs/>
        </w:rPr>
        <w:t>Schedule 2</w:t>
      </w:r>
      <w:r w:rsidR="001E49C7" w:rsidRPr="00574D3E">
        <w:t xml:space="preserve">, with such amendments as may be agreed between AEMO and the </w:t>
      </w:r>
      <w:r w:rsidRPr="00574D3E">
        <w:t>Tender</w:t>
      </w:r>
      <w:r w:rsidR="001E49C7" w:rsidRPr="00574D3E">
        <w:t>er</w:t>
      </w:r>
      <w:r w:rsidRPr="00574D3E">
        <w:t xml:space="preserve">, the Tenderer acknowledges that the Tenderer will deliver the Service specified in </w:t>
      </w:r>
      <w:r w:rsidRPr="00574D3E">
        <w:rPr>
          <w:b/>
        </w:rPr>
        <w:t>Schedule 2</w:t>
      </w:r>
      <w:r w:rsidRPr="00574D3E">
        <w:t xml:space="preserve"> for the prices specified in </w:t>
      </w:r>
      <w:r w:rsidRPr="00574D3E">
        <w:rPr>
          <w:b/>
        </w:rPr>
        <w:t>Schedule 3</w:t>
      </w:r>
      <w:r w:rsidRPr="00574D3E">
        <w:t>.</w:t>
      </w:r>
      <w:r w:rsidR="00EA3590" w:rsidRPr="00574D3E">
        <w:t xml:space="preserve"> </w:t>
      </w:r>
    </w:p>
    <w:p w14:paraId="4592A763" w14:textId="77777777" w:rsidR="00695E2A" w:rsidRPr="00574D3E" w:rsidRDefault="00695E2A" w:rsidP="0072709B">
      <w:pPr>
        <w:pStyle w:val="AEMONumberedlist"/>
        <w:rPr>
          <w:rFonts w:ascii="Arial Narrow" w:hAnsi="Arial Narrow"/>
          <w:b/>
          <w:bCs/>
          <w:color w:val="auto"/>
        </w:rPr>
      </w:pPr>
      <w:r w:rsidRPr="00574D3E">
        <w:rPr>
          <w:rFonts w:ascii="Arial Narrow" w:hAnsi="Arial Narrow"/>
          <w:b/>
          <w:bCs/>
          <w:color w:val="auto"/>
        </w:rPr>
        <w:t>Arrangements with third parties</w:t>
      </w:r>
    </w:p>
    <w:p w14:paraId="262C4D65" w14:textId="0AD4ADC8" w:rsidR="00695E2A" w:rsidRPr="00574D3E" w:rsidRDefault="00695E2A" w:rsidP="000A5F24">
      <w:pPr>
        <w:pStyle w:val="BodyText"/>
      </w:pPr>
      <w:r w:rsidRPr="00574D3E">
        <w:t>The Tenderer has</w:t>
      </w:r>
      <w:r w:rsidR="009F4072" w:rsidRPr="00574D3E">
        <w:t>, or will have, all necessary arrangements in place with third parties to ensure the effective delivery and testing of the Service</w:t>
      </w:r>
      <w:r w:rsidR="00191915">
        <w:t xml:space="preserve"> specified in </w:t>
      </w:r>
      <w:r w:rsidR="00191915" w:rsidRPr="0090782D">
        <w:rPr>
          <w:b/>
          <w:bCs/>
        </w:rPr>
        <w:t>Schedule 2</w:t>
      </w:r>
      <w:r w:rsidR="009F4072" w:rsidRPr="00574D3E">
        <w:t xml:space="preserve">, as specified in </w:t>
      </w:r>
      <w:r w:rsidR="009F4072" w:rsidRPr="00574D3E">
        <w:rPr>
          <w:b/>
        </w:rPr>
        <w:t xml:space="preserve">Schedule 4. </w:t>
      </w:r>
      <w:r w:rsidR="00DC397A">
        <w:rPr>
          <w:b/>
        </w:rPr>
        <w:t xml:space="preserve"> </w:t>
      </w:r>
    </w:p>
    <w:p w14:paraId="0CA1D9A9" w14:textId="77777777" w:rsidR="00FE557F" w:rsidRPr="00574D3E" w:rsidRDefault="00FE557F" w:rsidP="0072709B">
      <w:pPr>
        <w:pStyle w:val="AEMONumberedlist"/>
        <w:rPr>
          <w:rFonts w:ascii="Arial Narrow" w:hAnsi="Arial Narrow"/>
          <w:b/>
          <w:bCs/>
          <w:color w:val="auto"/>
        </w:rPr>
      </w:pPr>
      <w:r w:rsidRPr="00574D3E">
        <w:rPr>
          <w:rFonts w:ascii="Arial Narrow" w:hAnsi="Arial Narrow"/>
          <w:b/>
          <w:color w:val="auto"/>
        </w:rPr>
        <w:t>Validity Period</w:t>
      </w:r>
    </w:p>
    <w:p w14:paraId="3827E430" w14:textId="77777777" w:rsidR="00FE557F" w:rsidRPr="00574D3E" w:rsidRDefault="00FE557F" w:rsidP="0064064B">
      <w:pPr>
        <w:pStyle w:val="BodyText"/>
      </w:pPr>
      <w:r w:rsidRPr="00574D3E">
        <w:t xml:space="preserve">This Tender and the offer it contains will remain open for acceptance by </w:t>
      </w:r>
      <w:r w:rsidRPr="00574D3E" w:rsidDel="00445993">
        <w:rPr>
          <w:szCs w:val="20"/>
        </w:rPr>
        <w:t>AEMO</w:t>
      </w:r>
      <w:r w:rsidRPr="00574D3E">
        <w:t xml:space="preserve"> for the Validity Period.</w:t>
      </w:r>
    </w:p>
    <w:p w14:paraId="6D69DD53" w14:textId="2D7AEA6C" w:rsidR="00FE557F" w:rsidRPr="002500C4" w:rsidRDefault="00695E2A" w:rsidP="0072709B">
      <w:pPr>
        <w:pStyle w:val="AEMONumberedlist"/>
        <w:rPr>
          <w:rFonts w:ascii="Arial Narrow" w:hAnsi="Arial Narrow"/>
          <w:b/>
          <w:bCs/>
          <w:color w:val="auto"/>
        </w:rPr>
      </w:pPr>
      <w:r w:rsidRPr="00574D3E">
        <w:rPr>
          <w:rFonts w:ascii="Arial Narrow" w:hAnsi="Arial Narrow"/>
          <w:b/>
          <w:color w:val="auto"/>
        </w:rPr>
        <w:t xml:space="preserve">SRAS Agreement </w:t>
      </w:r>
    </w:p>
    <w:p w14:paraId="2CEDF4A5" w14:textId="1484E23B" w:rsidR="002500C4" w:rsidRPr="00574D3E" w:rsidRDefault="00A926F7" w:rsidP="0090782D">
      <w:pPr>
        <w:pStyle w:val="AEMONumberedlist"/>
        <w:numPr>
          <w:ilvl w:val="0"/>
          <w:numId w:val="0"/>
        </w:numPr>
        <w:ind w:left="1117" w:hanging="397"/>
        <w:rPr>
          <w:rFonts w:ascii="Arial Narrow" w:hAnsi="Arial Narrow"/>
          <w:b/>
          <w:bCs/>
          <w:color w:val="auto"/>
        </w:rPr>
      </w:pPr>
      <w:r>
        <w:rPr>
          <w:rFonts w:ascii="Arial Narrow" w:hAnsi="Arial Narrow"/>
          <w:b/>
          <w:color w:val="auto"/>
        </w:rPr>
        <w:t>Delete on</w:t>
      </w:r>
      <w:r w:rsidR="00CD72D4">
        <w:rPr>
          <w:rFonts w:ascii="Arial Narrow" w:hAnsi="Arial Narrow"/>
          <w:b/>
          <w:color w:val="auto"/>
        </w:rPr>
        <w:t>e</w:t>
      </w:r>
      <w:r>
        <w:rPr>
          <w:rFonts w:ascii="Arial Narrow" w:hAnsi="Arial Narrow"/>
          <w:b/>
          <w:color w:val="auto"/>
        </w:rPr>
        <w:t xml:space="preserve"> of the</w:t>
      </w:r>
      <w:r w:rsidR="003A59F2">
        <w:rPr>
          <w:rFonts w:ascii="Arial Narrow" w:hAnsi="Arial Narrow"/>
          <w:b/>
          <w:color w:val="auto"/>
        </w:rPr>
        <w:t xml:space="preserve"> paragraphs</w:t>
      </w:r>
      <w:r>
        <w:rPr>
          <w:rFonts w:ascii="Arial Narrow" w:hAnsi="Arial Narrow"/>
          <w:b/>
          <w:color w:val="auto"/>
        </w:rPr>
        <w:t xml:space="preserve"> belo</w:t>
      </w:r>
      <w:r w:rsidR="00CD72D4">
        <w:rPr>
          <w:rFonts w:ascii="Arial Narrow" w:hAnsi="Arial Narrow"/>
          <w:b/>
          <w:color w:val="auto"/>
        </w:rPr>
        <w:t xml:space="preserve">w </w:t>
      </w:r>
      <w:r w:rsidR="003A59F2">
        <w:rPr>
          <w:rFonts w:ascii="Arial Narrow" w:hAnsi="Arial Narrow"/>
          <w:b/>
          <w:color w:val="auto"/>
        </w:rPr>
        <w:t xml:space="preserve">that is not </w:t>
      </w:r>
      <w:r w:rsidR="00CD72D4">
        <w:rPr>
          <w:rFonts w:ascii="Arial Narrow" w:hAnsi="Arial Narrow"/>
          <w:b/>
          <w:color w:val="auto"/>
        </w:rPr>
        <w:t>required</w:t>
      </w:r>
      <w:r w:rsidR="006257B5">
        <w:rPr>
          <w:rFonts w:ascii="Arial Narrow" w:hAnsi="Arial Narrow"/>
          <w:b/>
          <w:color w:val="auto"/>
        </w:rPr>
        <w:t>:</w:t>
      </w:r>
      <w:r w:rsidR="00CD72D4">
        <w:rPr>
          <w:rFonts w:ascii="Arial Narrow" w:hAnsi="Arial Narrow"/>
          <w:b/>
          <w:color w:val="auto"/>
        </w:rPr>
        <w:t xml:space="preserve"> </w:t>
      </w:r>
      <w:r>
        <w:rPr>
          <w:rFonts w:ascii="Arial Narrow" w:hAnsi="Arial Narrow"/>
          <w:b/>
          <w:color w:val="auto"/>
        </w:rPr>
        <w:t xml:space="preserve"> </w:t>
      </w:r>
    </w:p>
    <w:p w14:paraId="115CBBD5" w14:textId="49E8BB1B" w:rsidR="00FE557F" w:rsidRPr="00574D3E" w:rsidRDefault="00FE557F" w:rsidP="0090782D">
      <w:pPr>
        <w:pStyle w:val="BodyText"/>
        <w:ind w:left="1117"/>
      </w:pPr>
      <w:r w:rsidRPr="00574D3E">
        <w:t xml:space="preserve">The Tenderer provides in </w:t>
      </w:r>
      <w:r w:rsidRPr="00574D3E">
        <w:rPr>
          <w:b/>
        </w:rPr>
        <w:t xml:space="preserve">Schedule </w:t>
      </w:r>
      <w:r w:rsidR="00695E2A" w:rsidRPr="00574D3E">
        <w:rPr>
          <w:b/>
        </w:rPr>
        <w:t>5</w:t>
      </w:r>
      <w:r w:rsidRPr="00574D3E">
        <w:t xml:space="preserve"> a copy of</w:t>
      </w:r>
      <w:r w:rsidR="00345CE0" w:rsidRPr="00574D3E">
        <w:t xml:space="preserve"> </w:t>
      </w:r>
      <w:r w:rsidR="00445993" w:rsidRPr="00574D3E">
        <w:t>AEMO</w:t>
      </w:r>
      <w:r w:rsidRPr="00574D3E">
        <w:rPr>
          <w:i/>
          <w:szCs w:val="20"/>
        </w:rPr>
        <w:t>’s</w:t>
      </w:r>
      <w:r w:rsidRPr="00574D3E">
        <w:t xml:space="preserve"> </w:t>
      </w:r>
      <w:r w:rsidR="00695E2A" w:rsidRPr="00574D3E">
        <w:t>proposed SRAS Agreement</w:t>
      </w:r>
      <w:r w:rsidRPr="00574D3E">
        <w:t xml:space="preserve"> with the Tenderer’s proposed changes in “track changes” mode.</w:t>
      </w:r>
    </w:p>
    <w:p w14:paraId="2D9E8577" w14:textId="77777777" w:rsidR="00FE557F" w:rsidRPr="00574D3E" w:rsidRDefault="00FE557F" w:rsidP="0090782D">
      <w:pPr>
        <w:ind w:left="1117"/>
        <w:rPr>
          <w:rFonts w:ascii="Arial Narrow" w:hAnsi="Arial Narrow"/>
        </w:rPr>
      </w:pPr>
      <w:r w:rsidRPr="00574D3E">
        <w:rPr>
          <w:rFonts w:ascii="Arial Narrow" w:hAnsi="Arial Narrow"/>
          <w:b/>
        </w:rPr>
        <w:t>OR</w:t>
      </w:r>
    </w:p>
    <w:p w14:paraId="3572EAB7" w14:textId="005ED9AC" w:rsidR="00FE557F" w:rsidRPr="00574D3E" w:rsidRDefault="00FE557F" w:rsidP="0090782D">
      <w:pPr>
        <w:pStyle w:val="BodyText"/>
        <w:ind w:left="1117"/>
      </w:pPr>
      <w:r w:rsidRPr="00574D3E">
        <w:t xml:space="preserve">The Tenderer accepts AEMO’s </w:t>
      </w:r>
      <w:r w:rsidR="00695E2A" w:rsidRPr="00574D3E">
        <w:t>proposed SRAS Agreement</w:t>
      </w:r>
      <w:r w:rsidRPr="00574D3E">
        <w:t xml:space="preserve"> as provided.</w:t>
      </w:r>
      <w:r w:rsidRPr="00574D3E">
        <w:rPr>
          <w:rStyle w:val="FootnoteReference"/>
          <w:rFonts w:cs="Arial"/>
        </w:rPr>
        <w:footnoteReference w:id="6"/>
      </w:r>
    </w:p>
    <w:p w14:paraId="14A34912" w14:textId="77777777" w:rsidR="00FE557F" w:rsidRPr="00574D3E" w:rsidRDefault="00FE557F" w:rsidP="0072709B">
      <w:pPr>
        <w:pStyle w:val="AEMONumberedlist"/>
        <w:rPr>
          <w:rFonts w:ascii="Arial Narrow" w:hAnsi="Arial Narrow"/>
          <w:b/>
          <w:color w:val="auto"/>
        </w:rPr>
      </w:pPr>
      <w:r w:rsidRPr="00574D3E">
        <w:rPr>
          <w:rFonts w:ascii="Arial Narrow" w:hAnsi="Arial Narrow"/>
          <w:b/>
          <w:color w:val="auto"/>
        </w:rPr>
        <w:t>Addenda to ITT (only if Addenda received)</w:t>
      </w:r>
    </w:p>
    <w:p w14:paraId="5737022B" w14:textId="77777777" w:rsidR="00FE557F" w:rsidRPr="00880E07" w:rsidRDefault="00FE557F" w:rsidP="0064064B">
      <w:pPr>
        <w:pStyle w:val="BodyText"/>
      </w:pPr>
      <w:r w:rsidRPr="00574D3E">
        <w:t xml:space="preserve">In the preparation of its Tender, the Tenderer acknowledges having received the following Addenda, if </w:t>
      </w:r>
      <w:r w:rsidRPr="00880E07">
        <w:t>any, to the ITT:</w:t>
      </w:r>
    </w:p>
    <w:p w14:paraId="745B0229" w14:textId="77777777" w:rsidR="00FE557F" w:rsidRPr="00880E07" w:rsidRDefault="00FE557F" w:rsidP="008C2F9B">
      <w:pPr>
        <w:ind w:left="720"/>
        <w:rPr>
          <w:rFonts w:ascii="Arial Narrow" w:hAnsi="Arial Narrow"/>
        </w:rPr>
      </w:pPr>
      <w:r w:rsidRPr="00880E07">
        <w:rPr>
          <w:rFonts w:ascii="Arial Narrow" w:hAnsi="Arial Narrow"/>
        </w:rPr>
        <w:t>Addendum No.</w:t>
      </w:r>
      <w:r w:rsidRPr="00880E07">
        <w:rPr>
          <w:rFonts w:ascii="Arial Narrow" w:hAnsi="Arial Narrow"/>
        </w:rPr>
        <w:tab/>
        <w:t xml:space="preserve">1 </w:t>
      </w:r>
      <w:r w:rsidRPr="00880E07">
        <w:rPr>
          <w:rFonts w:ascii="Arial Narrow" w:hAnsi="Arial Narrow"/>
        </w:rPr>
        <w:tab/>
      </w:r>
      <w:r w:rsidRPr="00880E07">
        <w:rPr>
          <w:rFonts w:ascii="Arial Narrow" w:hAnsi="Arial Narrow"/>
        </w:rPr>
        <w:tab/>
        <w:t>Dated</w:t>
      </w:r>
    </w:p>
    <w:p w14:paraId="626ED73A" w14:textId="77777777" w:rsidR="00FE557F" w:rsidRPr="00880E07" w:rsidRDefault="00FE557F" w:rsidP="008C2F9B">
      <w:pPr>
        <w:ind w:left="720"/>
        <w:rPr>
          <w:rFonts w:ascii="Arial Narrow" w:hAnsi="Arial Narrow"/>
        </w:rPr>
      </w:pPr>
      <w:r w:rsidRPr="00880E07">
        <w:rPr>
          <w:rFonts w:ascii="Arial Narrow" w:hAnsi="Arial Narrow"/>
        </w:rPr>
        <w:t>Addendum No.</w:t>
      </w:r>
      <w:r w:rsidRPr="00880E07">
        <w:rPr>
          <w:rFonts w:ascii="Arial Narrow" w:hAnsi="Arial Narrow"/>
        </w:rPr>
        <w:tab/>
        <w:t>2</w:t>
      </w:r>
      <w:r w:rsidRPr="00880E07">
        <w:rPr>
          <w:rFonts w:ascii="Arial Narrow" w:hAnsi="Arial Narrow"/>
        </w:rPr>
        <w:tab/>
      </w:r>
      <w:r w:rsidRPr="00880E07">
        <w:rPr>
          <w:rFonts w:ascii="Arial Narrow" w:hAnsi="Arial Narrow"/>
        </w:rPr>
        <w:tab/>
        <w:t>Dated</w:t>
      </w:r>
    </w:p>
    <w:p w14:paraId="5143C17B" w14:textId="77777777" w:rsidR="00FE557F" w:rsidRPr="00880E07" w:rsidRDefault="00FE557F" w:rsidP="008C2F9B">
      <w:pPr>
        <w:ind w:left="720"/>
        <w:rPr>
          <w:rFonts w:ascii="Arial Narrow" w:hAnsi="Arial Narrow"/>
        </w:rPr>
      </w:pPr>
      <w:r w:rsidRPr="00880E07">
        <w:rPr>
          <w:rFonts w:ascii="Arial Narrow" w:hAnsi="Arial Narrow"/>
        </w:rPr>
        <w:t>Addendum No.</w:t>
      </w:r>
      <w:r w:rsidRPr="00880E07">
        <w:rPr>
          <w:rFonts w:ascii="Arial Narrow" w:hAnsi="Arial Narrow"/>
        </w:rPr>
        <w:tab/>
        <w:t>3</w:t>
      </w:r>
      <w:r w:rsidRPr="00880E07">
        <w:rPr>
          <w:rFonts w:ascii="Arial Narrow" w:hAnsi="Arial Narrow"/>
        </w:rPr>
        <w:tab/>
      </w:r>
      <w:r w:rsidRPr="00880E07">
        <w:rPr>
          <w:rFonts w:ascii="Arial Narrow" w:hAnsi="Arial Narrow"/>
        </w:rPr>
        <w:tab/>
        <w:t>Dated</w:t>
      </w:r>
    </w:p>
    <w:p w14:paraId="2F627DBA" w14:textId="77777777" w:rsidR="00FE557F" w:rsidRPr="00880E07" w:rsidRDefault="00FE557F" w:rsidP="00FE557F">
      <w:pPr>
        <w:spacing w:after="220"/>
        <w:rPr>
          <w:rFonts w:ascii="Arial Narrow" w:hAnsi="Arial Narrow" w:cs="Arial"/>
          <w:sz w:val="24"/>
        </w:rPr>
      </w:pPr>
    </w:p>
    <w:p w14:paraId="707E0D94" w14:textId="77777777" w:rsidR="00FE557F" w:rsidRPr="00A86692" w:rsidRDefault="00FE557F" w:rsidP="00FE557F">
      <w:pPr>
        <w:keepNext/>
        <w:rPr>
          <w:rFonts w:ascii="Arial Narrow" w:hAnsi="Arial Narrow"/>
          <w:szCs w:val="22"/>
        </w:rPr>
      </w:pPr>
      <w:r w:rsidRPr="0064064B">
        <w:rPr>
          <w:rStyle w:val="BodyTextChar"/>
          <w:b/>
        </w:rPr>
        <w:t>NOTE</w:t>
      </w:r>
      <w:r w:rsidRPr="0064064B">
        <w:rPr>
          <w:rStyle w:val="BodyTextChar"/>
        </w:rPr>
        <w:t>:</w:t>
      </w:r>
      <w:r w:rsidR="006B51CE">
        <w:rPr>
          <w:rStyle w:val="BodyTextChar"/>
        </w:rPr>
        <w:t xml:space="preserve"> </w:t>
      </w:r>
      <w:r w:rsidRPr="0064064B">
        <w:rPr>
          <w:rStyle w:val="BodyTextChar"/>
        </w:rPr>
        <w:t>Capitalised terms in this Tender Form and Schedules are defined in the ITT;</w:t>
      </w:r>
      <w:r w:rsidR="006B51CE">
        <w:rPr>
          <w:rStyle w:val="BodyTextChar"/>
        </w:rPr>
        <w:t xml:space="preserve"> </w:t>
      </w:r>
      <w:r w:rsidRPr="0064064B">
        <w:rPr>
          <w:rStyle w:val="BodyTextChar"/>
        </w:rPr>
        <w:t>italicised terms are defined in the National Electricity Rules</w:t>
      </w:r>
      <w:r w:rsidRPr="00880E07">
        <w:rPr>
          <w:rFonts w:ascii="Arial Narrow" w:hAnsi="Arial Narrow" w:cs="Arial"/>
        </w:rPr>
        <w:t>.</w:t>
      </w:r>
    </w:p>
    <w:p w14:paraId="2EDBCBC5" w14:textId="77777777" w:rsidR="0067232D" w:rsidRPr="00A86692" w:rsidRDefault="0067232D" w:rsidP="00A853CA">
      <w:pPr>
        <w:ind w:left="720"/>
        <w:rPr>
          <w:rFonts w:ascii="Arial Narrow" w:hAnsi="Arial Narrow"/>
          <w:szCs w:val="22"/>
        </w:rPr>
      </w:pPr>
    </w:p>
    <w:p w14:paraId="412518B6" w14:textId="77777777" w:rsidR="006D2C17" w:rsidRPr="00A86692" w:rsidRDefault="006D2C17" w:rsidP="008D161C">
      <w:pPr>
        <w:spacing w:after="220"/>
        <w:rPr>
          <w:rFonts w:ascii="Arial Narrow" w:hAnsi="Arial Narrow"/>
        </w:rPr>
      </w:pPr>
    </w:p>
    <w:p w14:paraId="4731D748" w14:textId="076A0461" w:rsidR="0067232D" w:rsidRPr="00A86692" w:rsidRDefault="0067232D" w:rsidP="008D161C">
      <w:pPr>
        <w:spacing w:after="220"/>
        <w:rPr>
          <w:rFonts w:ascii="Arial Narrow" w:hAnsi="Arial Narrow"/>
          <w:szCs w:val="22"/>
        </w:rPr>
      </w:pPr>
      <w:r w:rsidRPr="00A86692">
        <w:rPr>
          <w:rFonts w:ascii="Arial Narrow" w:hAnsi="Arial Narrow"/>
          <w:szCs w:val="22"/>
        </w:rPr>
        <w:t>Dated this</w:t>
      </w:r>
      <w:r w:rsidRPr="00A86692">
        <w:rPr>
          <w:rFonts w:ascii="Arial Narrow" w:hAnsi="Arial Narrow"/>
          <w:szCs w:val="22"/>
        </w:rPr>
        <w:tab/>
        <w:t>day of</w:t>
      </w:r>
      <w:r w:rsidRPr="00A86692">
        <w:rPr>
          <w:rFonts w:ascii="Arial Narrow" w:hAnsi="Arial Narrow"/>
          <w:szCs w:val="22"/>
        </w:rPr>
        <w:tab/>
      </w:r>
      <w:r w:rsidRPr="00A86692">
        <w:rPr>
          <w:rFonts w:ascii="Arial Narrow" w:hAnsi="Arial Narrow"/>
          <w:szCs w:val="22"/>
        </w:rPr>
        <w:tab/>
      </w:r>
      <w:r w:rsidR="00F410DD">
        <w:rPr>
          <w:rFonts w:ascii="Arial Narrow" w:hAnsi="Arial Narrow"/>
          <w:szCs w:val="22"/>
        </w:rPr>
        <w:t>2023</w:t>
      </w:r>
    </w:p>
    <w:p w14:paraId="5E1CC4D7" w14:textId="77777777" w:rsidR="00212C42" w:rsidRPr="00A86692" w:rsidRDefault="00212C42" w:rsidP="008D161C">
      <w:pPr>
        <w:spacing w:after="220"/>
        <w:rPr>
          <w:rFonts w:ascii="Arial Narrow" w:hAnsi="Arial Narrow"/>
          <w:szCs w:val="22"/>
        </w:rPr>
      </w:pPr>
    </w:p>
    <w:tbl>
      <w:tblPr>
        <w:tblW w:w="9741" w:type="dxa"/>
        <w:tblLayout w:type="fixed"/>
        <w:tblLook w:val="0000" w:firstRow="0" w:lastRow="0" w:firstColumn="0" w:lastColumn="0" w:noHBand="0" w:noVBand="0"/>
      </w:tblPr>
      <w:tblGrid>
        <w:gridCol w:w="4587"/>
        <w:gridCol w:w="567"/>
        <w:gridCol w:w="4587"/>
      </w:tblGrid>
      <w:tr w:rsidR="00497D98" w:rsidRPr="00A86692" w14:paraId="133B0F07" w14:textId="77777777">
        <w:trPr>
          <w:cantSplit/>
        </w:trPr>
        <w:tc>
          <w:tcPr>
            <w:tcW w:w="4587" w:type="dxa"/>
          </w:tcPr>
          <w:p w14:paraId="10B84439" w14:textId="77777777" w:rsidR="00497D98" w:rsidRPr="00A86692" w:rsidRDefault="00497D98" w:rsidP="00A853CA">
            <w:pPr>
              <w:pStyle w:val="NormalSingle"/>
              <w:keepNext/>
              <w:rPr>
                <w:rFonts w:ascii="Arial Narrow" w:hAnsi="Arial Narrow"/>
                <w:sz w:val="22"/>
                <w:szCs w:val="22"/>
              </w:rPr>
            </w:pPr>
            <w:r w:rsidRPr="00A86692">
              <w:rPr>
                <w:rFonts w:ascii="Arial Narrow" w:hAnsi="Arial Narrow"/>
                <w:b/>
                <w:sz w:val="22"/>
                <w:szCs w:val="22"/>
              </w:rPr>
              <w:lastRenderedPageBreak/>
              <w:t xml:space="preserve">EXECUTED </w:t>
            </w:r>
            <w:r w:rsidRPr="00A86692">
              <w:rPr>
                <w:rFonts w:ascii="Arial Narrow" w:hAnsi="Arial Narrow"/>
                <w:sz w:val="22"/>
                <w:szCs w:val="22"/>
              </w:rPr>
              <w:t xml:space="preserve">by </w:t>
            </w:r>
            <w:r w:rsidRPr="00A86692">
              <w:rPr>
                <w:rFonts w:ascii="Arial Narrow" w:hAnsi="Arial Narrow"/>
                <w:b/>
                <w:i/>
                <w:caps/>
                <w:sz w:val="22"/>
                <w:szCs w:val="22"/>
              </w:rPr>
              <w:t>[name of tenderer]</w:t>
            </w:r>
            <w:r w:rsidRPr="00A86692">
              <w:rPr>
                <w:rFonts w:ascii="Arial Narrow" w:hAnsi="Arial Narrow"/>
                <w:sz w:val="22"/>
                <w:szCs w:val="22"/>
              </w:rPr>
              <w:t xml:space="preserve"> by its duly appointed </w:t>
            </w:r>
            <w:r w:rsidR="00A853CA" w:rsidRPr="00A86692">
              <w:rPr>
                <w:rFonts w:ascii="Arial Narrow" w:hAnsi="Arial Narrow"/>
                <w:sz w:val="22"/>
                <w:szCs w:val="22"/>
              </w:rPr>
              <w:t>representative</w:t>
            </w:r>
            <w:r w:rsidRPr="00A86692">
              <w:rPr>
                <w:rFonts w:ascii="Arial Narrow" w:hAnsi="Arial Narrow"/>
                <w:sz w:val="22"/>
                <w:szCs w:val="22"/>
              </w:rPr>
              <w:t xml:space="preserve"> in the presence of:</w:t>
            </w:r>
          </w:p>
          <w:p w14:paraId="081E0990" w14:textId="77777777" w:rsidR="00497D98" w:rsidRPr="00A86692" w:rsidRDefault="00497D98" w:rsidP="00A853CA">
            <w:pPr>
              <w:pStyle w:val="NormalSingle"/>
              <w:keepNext/>
              <w:rPr>
                <w:rFonts w:ascii="Arial Narrow" w:hAnsi="Arial Narrow"/>
                <w:sz w:val="22"/>
                <w:szCs w:val="22"/>
              </w:rPr>
            </w:pPr>
          </w:p>
          <w:p w14:paraId="03619E67" w14:textId="77777777" w:rsidR="00497D98" w:rsidRPr="00A86692" w:rsidRDefault="00497D98" w:rsidP="00A853CA">
            <w:pPr>
              <w:pStyle w:val="NormalSingle"/>
              <w:keepNext/>
              <w:rPr>
                <w:rFonts w:ascii="Arial Narrow" w:hAnsi="Arial Narrow"/>
                <w:sz w:val="22"/>
                <w:szCs w:val="22"/>
              </w:rPr>
            </w:pPr>
          </w:p>
        </w:tc>
        <w:tc>
          <w:tcPr>
            <w:tcW w:w="567" w:type="dxa"/>
          </w:tcPr>
          <w:p w14:paraId="530674AA" w14:textId="77777777" w:rsidR="00497D98" w:rsidRPr="00A86692" w:rsidRDefault="00497D98" w:rsidP="00A853CA">
            <w:pPr>
              <w:pStyle w:val="NormalSingle"/>
              <w:keepNext/>
              <w:rPr>
                <w:rFonts w:ascii="Arial Narrow" w:hAnsi="Arial Narrow"/>
                <w:sz w:val="22"/>
                <w:szCs w:val="22"/>
              </w:rPr>
            </w:pPr>
            <w:r w:rsidRPr="00A86692">
              <w:rPr>
                <w:rFonts w:ascii="Arial Narrow" w:hAnsi="Arial Narrow"/>
                <w:sz w:val="22"/>
                <w:szCs w:val="22"/>
              </w:rPr>
              <w:t>)</w:t>
            </w:r>
          </w:p>
          <w:p w14:paraId="39B66DC8" w14:textId="77777777" w:rsidR="00497D98" w:rsidRPr="00A86692" w:rsidRDefault="00497D98" w:rsidP="00A853CA">
            <w:pPr>
              <w:pStyle w:val="NormalSingle"/>
              <w:keepNext/>
              <w:rPr>
                <w:rFonts w:ascii="Arial Narrow" w:hAnsi="Arial Narrow"/>
                <w:sz w:val="22"/>
                <w:szCs w:val="22"/>
              </w:rPr>
            </w:pPr>
            <w:r w:rsidRPr="00A86692">
              <w:rPr>
                <w:rFonts w:ascii="Arial Narrow" w:hAnsi="Arial Narrow"/>
                <w:sz w:val="22"/>
                <w:szCs w:val="22"/>
              </w:rPr>
              <w:t>)</w:t>
            </w:r>
          </w:p>
          <w:p w14:paraId="269E6B33" w14:textId="77777777" w:rsidR="00497D98" w:rsidRPr="00A86692" w:rsidRDefault="00497D98" w:rsidP="00A853CA">
            <w:pPr>
              <w:pStyle w:val="NormalSingle"/>
              <w:keepNext/>
              <w:rPr>
                <w:rFonts w:ascii="Arial Narrow" w:hAnsi="Arial Narrow"/>
                <w:sz w:val="22"/>
                <w:szCs w:val="22"/>
              </w:rPr>
            </w:pPr>
            <w:r w:rsidRPr="00A86692">
              <w:rPr>
                <w:rFonts w:ascii="Arial Narrow" w:hAnsi="Arial Narrow"/>
                <w:sz w:val="22"/>
                <w:szCs w:val="22"/>
              </w:rPr>
              <w:t>)</w:t>
            </w:r>
          </w:p>
        </w:tc>
        <w:tc>
          <w:tcPr>
            <w:tcW w:w="4587" w:type="dxa"/>
          </w:tcPr>
          <w:p w14:paraId="26833954" w14:textId="77777777" w:rsidR="00497D98" w:rsidRPr="00A86692" w:rsidRDefault="00497D98" w:rsidP="00A853CA">
            <w:pPr>
              <w:pStyle w:val="NormalSingle"/>
              <w:keepNext/>
              <w:rPr>
                <w:rFonts w:ascii="Arial Narrow" w:hAnsi="Arial Narrow"/>
                <w:sz w:val="22"/>
                <w:szCs w:val="22"/>
              </w:rPr>
            </w:pPr>
          </w:p>
        </w:tc>
      </w:tr>
      <w:tr w:rsidR="00497D98" w:rsidRPr="00A86692" w14:paraId="425BF199" w14:textId="77777777">
        <w:trPr>
          <w:cantSplit/>
        </w:trPr>
        <w:tc>
          <w:tcPr>
            <w:tcW w:w="4587" w:type="dxa"/>
          </w:tcPr>
          <w:p w14:paraId="5BBC4C45" w14:textId="77777777" w:rsidR="00497D98" w:rsidRPr="00A86692" w:rsidRDefault="00497D98" w:rsidP="00A853CA">
            <w:pPr>
              <w:pStyle w:val="NormalSingle"/>
              <w:rPr>
                <w:rFonts w:ascii="Arial Narrow" w:hAnsi="Arial Narrow"/>
                <w:sz w:val="22"/>
                <w:szCs w:val="22"/>
              </w:rPr>
            </w:pPr>
            <w:r w:rsidRPr="00A86692">
              <w:rPr>
                <w:rFonts w:ascii="Arial Narrow" w:hAnsi="Arial Narrow"/>
                <w:sz w:val="22"/>
                <w:szCs w:val="22"/>
              </w:rPr>
              <w:t>..............................................................……..</w:t>
            </w:r>
          </w:p>
          <w:p w14:paraId="61C6CCE7" w14:textId="77777777" w:rsidR="00497D98" w:rsidRPr="00A86692" w:rsidRDefault="00497D98" w:rsidP="00A853CA">
            <w:pPr>
              <w:pStyle w:val="NormalSingle"/>
              <w:rPr>
                <w:rFonts w:ascii="Arial Narrow" w:hAnsi="Arial Narrow"/>
                <w:sz w:val="22"/>
                <w:szCs w:val="22"/>
              </w:rPr>
            </w:pPr>
            <w:r w:rsidRPr="00A86692">
              <w:rPr>
                <w:rFonts w:ascii="Arial Narrow" w:hAnsi="Arial Narrow"/>
                <w:sz w:val="22"/>
                <w:szCs w:val="22"/>
              </w:rPr>
              <w:t>Witness</w:t>
            </w:r>
          </w:p>
          <w:p w14:paraId="22AFB1F5" w14:textId="77777777" w:rsidR="00497D98" w:rsidRPr="00A86692" w:rsidRDefault="00497D98" w:rsidP="00A853CA">
            <w:pPr>
              <w:pStyle w:val="NormalSingle"/>
              <w:rPr>
                <w:rFonts w:ascii="Arial Narrow" w:hAnsi="Arial Narrow"/>
                <w:sz w:val="22"/>
                <w:szCs w:val="22"/>
              </w:rPr>
            </w:pPr>
          </w:p>
          <w:p w14:paraId="494AB708" w14:textId="77777777" w:rsidR="00497D98" w:rsidRPr="00A86692" w:rsidRDefault="00497D98" w:rsidP="00A853CA">
            <w:pPr>
              <w:pStyle w:val="NormalSingle"/>
              <w:rPr>
                <w:rFonts w:ascii="Arial Narrow" w:hAnsi="Arial Narrow"/>
                <w:sz w:val="22"/>
                <w:szCs w:val="22"/>
              </w:rPr>
            </w:pPr>
            <w:r w:rsidRPr="00A86692">
              <w:rPr>
                <w:rFonts w:ascii="Arial Narrow" w:hAnsi="Arial Narrow"/>
                <w:sz w:val="22"/>
                <w:szCs w:val="22"/>
              </w:rPr>
              <w:t>..............................................................……..</w:t>
            </w:r>
          </w:p>
          <w:p w14:paraId="525C7C21" w14:textId="77777777" w:rsidR="00497D98" w:rsidRPr="00A86692" w:rsidRDefault="00497D98" w:rsidP="00A853CA">
            <w:pPr>
              <w:pStyle w:val="NormalSingle"/>
              <w:rPr>
                <w:rFonts w:ascii="Arial Narrow" w:hAnsi="Arial Narrow"/>
                <w:sz w:val="22"/>
                <w:szCs w:val="22"/>
              </w:rPr>
            </w:pPr>
            <w:r w:rsidRPr="00A86692">
              <w:rPr>
                <w:rFonts w:ascii="Arial Narrow" w:hAnsi="Arial Narrow"/>
                <w:sz w:val="22"/>
                <w:szCs w:val="22"/>
              </w:rPr>
              <w:t xml:space="preserve">Name of </w:t>
            </w:r>
            <w:r w:rsidR="00185251">
              <w:rPr>
                <w:rFonts w:ascii="Arial Narrow" w:hAnsi="Arial Narrow"/>
                <w:sz w:val="22"/>
                <w:szCs w:val="22"/>
              </w:rPr>
              <w:t>w</w:t>
            </w:r>
            <w:r w:rsidRPr="00A86692">
              <w:rPr>
                <w:rFonts w:ascii="Arial Narrow" w:hAnsi="Arial Narrow"/>
                <w:sz w:val="22"/>
                <w:szCs w:val="22"/>
              </w:rPr>
              <w:t>itness (print)</w:t>
            </w:r>
          </w:p>
          <w:p w14:paraId="4112F01B" w14:textId="77777777" w:rsidR="00497D98" w:rsidRPr="00A86692" w:rsidRDefault="00497D98" w:rsidP="00A853CA">
            <w:pPr>
              <w:pStyle w:val="NormalSingle"/>
              <w:rPr>
                <w:rFonts w:ascii="Arial Narrow" w:hAnsi="Arial Narrow"/>
                <w:sz w:val="22"/>
                <w:szCs w:val="22"/>
              </w:rPr>
            </w:pPr>
          </w:p>
        </w:tc>
        <w:tc>
          <w:tcPr>
            <w:tcW w:w="567" w:type="dxa"/>
          </w:tcPr>
          <w:p w14:paraId="0E9207CA" w14:textId="77777777" w:rsidR="00497D98" w:rsidRPr="00A86692" w:rsidRDefault="00497D98" w:rsidP="00A853CA">
            <w:pPr>
              <w:pStyle w:val="NormalSingle"/>
              <w:rPr>
                <w:rFonts w:ascii="Arial Narrow" w:hAnsi="Arial Narrow"/>
                <w:sz w:val="22"/>
                <w:szCs w:val="22"/>
              </w:rPr>
            </w:pPr>
          </w:p>
        </w:tc>
        <w:tc>
          <w:tcPr>
            <w:tcW w:w="4587" w:type="dxa"/>
          </w:tcPr>
          <w:p w14:paraId="13418AE8" w14:textId="77777777" w:rsidR="00497D98" w:rsidRPr="00A86692" w:rsidRDefault="00497D98" w:rsidP="00A853CA">
            <w:pPr>
              <w:pStyle w:val="NormalSingle"/>
              <w:rPr>
                <w:rFonts w:ascii="Arial Narrow" w:hAnsi="Arial Narrow"/>
                <w:sz w:val="22"/>
                <w:szCs w:val="22"/>
              </w:rPr>
            </w:pPr>
            <w:r w:rsidRPr="00A86692">
              <w:rPr>
                <w:rFonts w:ascii="Arial Narrow" w:hAnsi="Arial Narrow"/>
                <w:sz w:val="22"/>
                <w:szCs w:val="22"/>
              </w:rPr>
              <w:t>..............................................................……..</w:t>
            </w:r>
          </w:p>
          <w:p w14:paraId="547A9470" w14:textId="77777777" w:rsidR="00FE557F" w:rsidRPr="007528A7" w:rsidRDefault="00FE557F" w:rsidP="00FE557F">
            <w:pPr>
              <w:pStyle w:val="NormalSingle"/>
              <w:rPr>
                <w:rFonts w:ascii="Arial Narrow" w:hAnsi="Arial Narrow" w:cs="Arial"/>
                <w:sz w:val="22"/>
                <w:szCs w:val="22"/>
              </w:rPr>
            </w:pPr>
            <w:r w:rsidRPr="007528A7">
              <w:rPr>
                <w:rFonts w:ascii="Arial Narrow" w:hAnsi="Arial Narrow" w:cs="Arial"/>
                <w:sz w:val="22"/>
                <w:szCs w:val="22"/>
              </w:rPr>
              <w:t>Authorised Officer</w:t>
            </w:r>
          </w:p>
          <w:p w14:paraId="7D9D6254" w14:textId="77777777" w:rsidR="00FE557F" w:rsidRPr="007528A7" w:rsidRDefault="00FE557F" w:rsidP="00FE557F">
            <w:pPr>
              <w:pStyle w:val="NormalSingle"/>
              <w:rPr>
                <w:rFonts w:ascii="Arial Narrow" w:hAnsi="Arial Narrow" w:cs="Arial"/>
                <w:sz w:val="22"/>
                <w:szCs w:val="22"/>
              </w:rPr>
            </w:pPr>
          </w:p>
          <w:p w14:paraId="19D221F6" w14:textId="77777777" w:rsidR="00FE557F" w:rsidRPr="007528A7" w:rsidRDefault="00FE557F" w:rsidP="00FE557F">
            <w:pPr>
              <w:pStyle w:val="NormalSingle"/>
              <w:rPr>
                <w:rFonts w:ascii="Arial Narrow" w:hAnsi="Arial Narrow" w:cs="Arial"/>
                <w:sz w:val="22"/>
                <w:szCs w:val="22"/>
              </w:rPr>
            </w:pPr>
            <w:r w:rsidRPr="007528A7">
              <w:rPr>
                <w:rFonts w:ascii="Arial Narrow" w:hAnsi="Arial Narrow" w:cs="Arial"/>
                <w:sz w:val="22"/>
                <w:szCs w:val="22"/>
              </w:rPr>
              <w:t>..............................................................……..</w:t>
            </w:r>
          </w:p>
          <w:p w14:paraId="2D6D8E25" w14:textId="77777777" w:rsidR="00FE557F" w:rsidRPr="007528A7" w:rsidRDefault="00FE557F" w:rsidP="00FE557F">
            <w:pPr>
              <w:pStyle w:val="NormalSingle"/>
              <w:rPr>
                <w:rFonts w:ascii="Arial Narrow" w:hAnsi="Arial Narrow" w:cs="Arial"/>
                <w:sz w:val="22"/>
                <w:szCs w:val="22"/>
              </w:rPr>
            </w:pPr>
            <w:r w:rsidRPr="007528A7">
              <w:rPr>
                <w:rFonts w:ascii="Arial Narrow" w:hAnsi="Arial Narrow" w:cs="Arial"/>
                <w:sz w:val="22"/>
                <w:szCs w:val="22"/>
              </w:rPr>
              <w:t>Name of Authorised Officer (print)</w:t>
            </w:r>
          </w:p>
          <w:p w14:paraId="5EF2E89F" w14:textId="77777777" w:rsidR="00FE557F" w:rsidRPr="007528A7" w:rsidRDefault="00FE557F" w:rsidP="00FE557F">
            <w:pPr>
              <w:pStyle w:val="NormalSingle"/>
              <w:rPr>
                <w:rFonts w:ascii="Arial Narrow" w:hAnsi="Arial Narrow" w:cs="Arial"/>
                <w:sz w:val="22"/>
                <w:szCs w:val="22"/>
              </w:rPr>
            </w:pPr>
          </w:p>
          <w:p w14:paraId="27D30B08" w14:textId="77777777" w:rsidR="00FE557F" w:rsidRPr="007528A7" w:rsidRDefault="00FE557F" w:rsidP="00FE557F">
            <w:pPr>
              <w:pStyle w:val="NormalSingle"/>
              <w:rPr>
                <w:rFonts w:ascii="Arial Narrow" w:hAnsi="Arial Narrow" w:cs="Arial"/>
                <w:sz w:val="22"/>
                <w:szCs w:val="22"/>
              </w:rPr>
            </w:pPr>
            <w:r w:rsidRPr="007528A7">
              <w:rPr>
                <w:rFonts w:ascii="Arial Narrow" w:hAnsi="Arial Narrow" w:cs="Arial"/>
                <w:sz w:val="22"/>
                <w:szCs w:val="22"/>
              </w:rPr>
              <w:t>..............................................................……..</w:t>
            </w:r>
          </w:p>
          <w:p w14:paraId="665B01A1" w14:textId="77777777" w:rsidR="00FE557F" w:rsidRPr="007528A7" w:rsidRDefault="00FE557F" w:rsidP="00FE557F">
            <w:pPr>
              <w:pStyle w:val="NormalSingle"/>
              <w:rPr>
                <w:rFonts w:ascii="Arial Narrow" w:hAnsi="Arial Narrow" w:cs="Arial"/>
                <w:sz w:val="22"/>
                <w:szCs w:val="22"/>
              </w:rPr>
            </w:pPr>
            <w:r w:rsidRPr="007528A7">
              <w:rPr>
                <w:rFonts w:ascii="Arial Narrow" w:hAnsi="Arial Narrow" w:cs="Arial"/>
                <w:sz w:val="22"/>
                <w:szCs w:val="22"/>
              </w:rPr>
              <w:t>Title of Authorised Officer (print)</w:t>
            </w:r>
          </w:p>
          <w:p w14:paraId="4C5A6184" w14:textId="77777777" w:rsidR="00497D98" w:rsidRPr="00A86692" w:rsidRDefault="00497D98" w:rsidP="00A853CA">
            <w:pPr>
              <w:pStyle w:val="NormalSingle"/>
              <w:rPr>
                <w:rFonts w:ascii="Arial Narrow" w:hAnsi="Arial Narrow"/>
                <w:sz w:val="22"/>
                <w:szCs w:val="22"/>
              </w:rPr>
            </w:pPr>
          </w:p>
        </w:tc>
      </w:tr>
    </w:tbl>
    <w:p w14:paraId="5C5062F5" w14:textId="77777777" w:rsidR="00504D69" w:rsidRPr="00A86692" w:rsidRDefault="00504D69" w:rsidP="008D161C">
      <w:pPr>
        <w:spacing w:after="220"/>
        <w:rPr>
          <w:rFonts w:ascii="Arial Narrow" w:hAnsi="Arial Narrow"/>
          <w:sz w:val="20"/>
        </w:rPr>
      </w:pPr>
    </w:p>
    <w:p w14:paraId="12F12BD2" w14:textId="77777777" w:rsidR="00B0763D" w:rsidRPr="009F3F1B" w:rsidRDefault="00B0763D" w:rsidP="00A86692">
      <w:pPr>
        <w:pStyle w:val="ITTScheduleHeading1"/>
        <w:shd w:val="clear" w:color="auto" w:fill="auto"/>
        <w:rPr>
          <w:rFonts w:ascii="Arial Narrow" w:hAnsi="Arial Narrow"/>
          <w:sz w:val="30"/>
          <w:szCs w:val="30"/>
        </w:rPr>
      </w:pPr>
      <w:bookmarkStart w:id="19" w:name="_Toc137014562"/>
      <w:bookmarkStart w:id="20" w:name="_Toc137442213"/>
      <w:bookmarkStart w:id="21" w:name="_Toc133844113"/>
      <w:r w:rsidRPr="009F3F1B">
        <w:rPr>
          <w:rFonts w:ascii="Arial Narrow" w:hAnsi="Arial Narrow"/>
          <w:sz w:val="30"/>
          <w:szCs w:val="30"/>
        </w:rPr>
        <w:lastRenderedPageBreak/>
        <w:t>SCHEDULE 1</w:t>
      </w:r>
      <w:bookmarkEnd w:id="19"/>
      <w:bookmarkEnd w:id="20"/>
      <w:bookmarkEnd w:id="21"/>
    </w:p>
    <w:p w14:paraId="492AD076" w14:textId="77777777" w:rsidR="00B0763D" w:rsidRPr="002130DC" w:rsidRDefault="00717EA9" w:rsidP="002130DC">
      <w:pPr>
        <w:jc w:val="center"/>
        <w:rPr>
          <w:rFonts w:ascii="Arial Narrow" w:hAnsi="Arial Narrow"/>
          <w:b/>
          <w:sz w:val="30"/>
          <w:szCs w:val="30"/>
        </w:rPr>
      </w:pPr>
      <w:bookmarkStart w:id="22" w:name="_Toc137014563"/>
      <w:bookmarkStart w:id="23" w:name="_Toc137442214"/>
      <w:r w:rsidRPr="002130DC">
        <w:rPr>
          <w:rFonts w:ascii="Arial Narrow" w:hAnsi="Arial Narrow"/>
          <w:b/>
          <w:sz w:val="30"/>
          <w:szCs w:val="30"/>
        </w:rPr>
        <w:t>STATEMENT OF COMPLIANCE</w:t>
      </w:r>
      <w:bookmarkEnd w:id="22"/>
      <w:bookmarkEnd w:id="23"/>
    </w:p>
    <w:p w14:paraId="56412C98" w14:textId="77777777" w:rsidR="006257B5" w:rsidRPr="00574D3E" w:rsidRDefault="006257B5">
      <w:pPr>
        <w:pStyle w:val="AEMONumberedlist"/>
        <w:numPr>
          <w:ilvl w:val="0"/>
          <w:numId w:val="0"/>
        </w:numPr>
        <w:rPr>
          <w:rFonts w:ascii="Arial Narrow" w:hAnsi="Arial Narrow"/>
          <w:b/>
          <w:bCs/>
          <w:color w:val="auto"/>
        </w:rPr>
      </w:pPr>
      <w:r>
        <w:rPr>
          <w:rFonts w:ascii="Arial Narrow" w:hAnsi="Arial Narrow"/>
          <w:b/>
          <w:color w:val="auto"/>
        </w:rPr>
        <w:t xml:space="preserve">Delete one of the paragraphs below that is not required:  </w:t>
      </w:r>
    </w:p>
    <w:p w14:paraId="0A8C090D" w14:textId="77777777" w:rsidR="00B0763D" w:rsidRPr="00A86692" w:rsidRDefault="004D473C" w:rsidP="00025B27">
      <w:pPr>
        <w:spacing w:after="220"/>
        <w:ind w:left="720"/>
        <w:rPr>
          <w:rFonts w:ascii="Arial Narrow" w:hAnsi="Arial Narrow"/>
          <w:szCs w:val="22"/>
        </w:rPr>
      </w:pPr>
      <w:r w:rsidRPr="00A86692">
        <w:rPr>
          <w:rFonts w:ascii="Arial Narrow" w:hAnsi="Arial Narrow"/>
          <w:szCs w:val="22"/>
        </w:rPr>
        <w:t xml:space="preserve">I </w:t>
      </w:r>
      <w:r w:rsidRPr="00A86692">
        <w:rPr>
          <w:rFonts w:ascii="Arial Narrow" w:hAnsi="Arial Narrow"/>
          <w:i/>
          <w:szCs w:val="22"/>
        </w:rPr>
        <w:t>[Tenderer]</w:t>
      </w:r>
      <w:r w:rsidRPr="00A86692">
        <w:rPr>
          <w:rFonts w:ascii="Arial Narrow" w:hAnsi="Arial Narrow"/>
          <w:szCs w:val="22"/>
        </w:rPr>
        <w:t xml:space="preserve"> confirm that this Tender conforms in every respect with the </w:t>
      </w:r>
      <w:r w:rsidR="00987247" w:rsidRPr="00A86692">
        <w:rPr>
          <w:rFonts w:ascii="Arial Narrow" w:hAnsi="Arial Narrow"/>
          <w:szCs w:val="22"/>
        </w:rPr>
        <w:t>ITT</w:t>
      </w:r>
      <w:r w:rsidRPr="00A86692">
        <w:rPr>
          <w:rFonts w:ascii="Arial Narrow" w:hAnsi="Arial Narrow"/>
          <w:szCs w:val="22"/>
        </w:rPr>
        <w:t>.</w:t>
      </w:r>
    </w:p>
    <w:p w14:paraId="3943E475" w14:textId="77777777" w:rsidR="004D473C" w:rsidRPr="00A86692" w:rsidRDefault="004D473C" w:rsidP="00025B27">
      <w:pPr>
        <w:spacing w:after="220"/>
        <w:ind w:left="720"/>
        <w:rPr>
          <w:rFonts w:ascii="Arial Narrow" w:hAnsi="Arial Narrow"/>
          <w:szCs w:val="22"/>
        </w:rPr>
      </w:pPr>
    </w:p>
    <w:p w14:paraId="7CA020D6" w14:textId="77777777" w:rsidR="004D473C" w:rsidRPr="00A86692" w:rsidRDefault="004D473C" w:rsidP="00025B27">
      <w:pPr>
        <w:spacing w:after="160"/>
        <w:ind w:left="720"/>
      </w:pPr>
      <w:r w:rsidRPr="00A86692">
        <w:t>OR</w:t>
      </w:r>
    </w:p>
    <w:p w14:paraId="2618A4C2" w14:textId="77777777" w:rsidR="004D473C" w:rsidRPr="00A86692" w:rsidRDefault="004D473C" w:rsidP="00025B27">
      <w:pPr>
        <w:spacing w:after="220"/>
        <w:ind w:left="720"/>
        <w:jc w:val="both"/>
        <w:rPr>
          <w:rFonts w:ascii="Arial Narrow" w:hAnsi="Arial Narrow"/>
          <w:szCs w:val="22"/>
        </w:rPr>
      </w:pPr>
      <w:r w:rsidRPr="00A86692">
        <w:rPr>
          <w:rFonts w:ascii="Arial Narrow" w:hAnsi="Arial Narrow"/>
          <w:szCs w:val="22"/>
        </w:rPr>
        <w:t xml:space="preserve">I </w:t>
      </w:r>
      <w:r w:rsidRPr="00A86692">
        <w:rPr>
          <w:rFonts w:ascii="Arial Narrow" w:hAnsi="Arial Narrow"/>
          <w:i/>
          <w:szCs w:val="22"/>
        </w:rPr>
        <w:t>[Tenderer]</w:t>
      </w:r>
      <w:r w:rsidRPr="00A86692">
        <w:rPr>
          <w:rFonts w:ascii="Arial Narrow" w:hAnsi="Arial Narrow"/>
          <w:szCs w:val="22"/>
        </w:rPr>
        <w:t xml:space="preserve"> confirm that this Tender does not conform with the </w:t>
      </w:r>
      <w:r w:rsidR="00987247" w:rsidRPr="00A86692">
        <w:rPr>
          <w:rFonts w:ascii="Arial Narrow" w:hAnsi="Arial Narrow"/>
          <w:szCs w:val="22"/>
        </w:rPr>
        <w:t>ITT</w:t>
      </w:r>
      <w:r w:rsidRPr="00A86692">
        <w:rPr>
          <w:rFonts w:ascii="Arial Narrow" w:hAnsi="Arial Narrow"/>
          <w:szCs w:val="22"/>
        </w:rPr>
        <w:t xml:space="preserve"> in the following ways:</w:t>
      </w:r>
    </w:p>
    <w:p w14:paraId="1A75796D" w14:textId="77777777" w:rsidR="004D473C" w:rsidRPr="00A86692" w:rsidRDefault="00C57BB8" w:rsidP="00025B27">
      <w:pPr>
        <w:spacing w:after="220"/>
        <w:ind w:left="720"/>
        <w:rPr>
          <w:rFonts w:ascii="Arial Narrow" w:hAnsi="Arial Narrow"/>
          <w:szCs w:val="22"/>
        </w:rPr>
      </w:pPr>
      <w:r w:rsidRPr="00A86692">
        <w:rPr>
          <w:rFonts w:ascii="Arial Narrow" w:hAnsi="Arial Narrow"/>
          <w:szCs w:val="22"/>
        </w:rPr>
        <w:t>1.</w:t>
      </w:r>
      <w:r w:rsidRPr="00A86692">
        <w:rPr>
          <w:rFonts w:ascii="Arial Narrow" w:hAnsi="Arial Narrow"/>
          <w:szCs w:val="22"/>
        </w:rPr>
        <w:tab/>
      </w:r>
    </w:p>
    <w:p w14:paraId="27C000FF" w14:textId="77777777" w:rsidR="004D473C" w:rsidRPr="00A86692" w:rsidRDefault="004D473C" w:rsidP="00B0763D">
      <w:pPr>
        <w:spacing w:after="220"/>
        <w:rPr>
          <w:rFonts w:ascii="Arial Narrow" w:hAnsi="Arial Narrow"/>
          <w:szCs w:val="22"/>
        </w:rPr>
      </w:pPr>
    </w:p>
    <w:p w14:paraId="0BF30B89" w14:textId="77777777" w:rsidR="004D473C" w:rsidRPr="00A86692" w:rsidRDefault="004D473C" w:rsidP="00B0763D">
      <w:pPr>
        <w:spacing w:after="220"/>
        <w:rPr>
          <w:rFonts w:ascii="Arial Narrow" w:hAnsi="Arial Narrow"/>
          <w:szCs w:val="22"/>
        </w:rPr>
      </w:pPr>
    </w:p>
    <w:p w14:paraId="060E3288" w14:textId="77777777" w:rsidR="00A33563" w:rsidRPr="00A86692" w:rsidRDefault="00A33563" w:rsidP="00B0763D">
      <w:pPr>
        <w:spacing w:after="220"/>
        <w:rPr>
          <w:rFonts w:ascii="Arial Narrow" w:hAnsi="Arial Narrow"/>
          <w:szCs w:val="22"/>
        </w:rPr>
      </w:pPr>
    </w:p>
    <w:p w14:paraId="69B541E0" w14:textId="77777777" w:rsidR="00A33563" w:rsidRPr="00A86692" w:rsidRDefault="00A33563" w:rsidP="00B0763D">
      <w:pPr>
        <w:spacing w:after="220"/>
        <w:rPr>
          <w:rFonts w:ascii="Arial Narrow" w:hAnsi="Arial Narrow"/>
          <w:szCs w:val="22"/>
        </w:rPr>
      </w:pPr>
    </w:p>
    <w:p w14:paraId="69AD3099" w14:textId="77777777" w:rsidR="00A33563" w:rsidRPr="00A86692" w:rsidRDefault="00A33563" w:rsidP="00B0763D">
      <w:pPr>
        <w:spacing w:after="220"/>
        <w:rPr>
          <w:rFonts w:ascii="Arial Narrow" w:hAnsi="Arial Narrow"/>
          <w:szCs w:val="22"/>
        </w:rPr>
      </w:pPr>
    </w:p>
    <w:p w14:paraId="342E51F2" w14:textId="77777777" w:rsidR="00B0763D" w:rsidRPr="00A86692" w:rsidRDefault="00B0763D" w:rsidP="00B0763D">
      <w:pPr>
        <w:spacing w:after="220"/>
        <w:rPr>
          <w:rFonts w:ascii="Arial Narrow" w:hAnsi="Arial Narrow"/>
          <w:szCs w:val="22"/>
        </w:rPr>
      </w:pPr>
    </w:p>
    <w:p w14:paraId="700A8E1F" w14:textId="77777777" w:rsidR="00C57BB8" w:rsidRPr="00A86692" w:rsidRDefault="00C57BB8" w:rsidP="00B0763D">
      <w:pPr>
        <w:spacing w:after="220"/>
        <w:rPr>
          <w:rFonts w:ascii="Arial Narrow" w:hAnsi="Arial Narrow"/>
          <w:szCs w:val="22"/>
        </w:rPr>
      </w:pPr>
    </w:p>
    <w:p w14:paraId="5FFB39F7" w14:textId="77777777" w:rsidR="00C57BB8" w:rsidRPr="00A86692" w:rsidRDefault="00185251" w:rsidP="00B0763D">
      <w:pPr>
        <w:spacing w:after="220"/>
        <w:rPr>
          <w:rFonts w:ascii="Arial Narrow" w:hAnsi="Arial Narrow"/>
          <w:szCs w:val="22"/>
        </w:rPr>
      </w:pPr>
      <w:r>
        <w:rPr>
          <w:rFonts w:ascii="Arial Narrow" w:hAnsi="Arial Narrow"/>
          <w:szCs w:val="22"/>
        </w:rPr>
        <w:t>Tenderer's n</w:t>
      </w:r>
      <w:r w:rsidR="00C57BB8" w:rsidRPr="00A86692">
        <w:rPr>
          <w:rFonts w:ascii="Arial Narrow" w:hAnsi="Arial Narrow"/>
          <w:szCs w:val="22"/>
        </w:rPr>
        <w:t>ame</w:t>
      </w:r>
      <w:r w:rsidR="00C57BB8" w:rsidRPr="00A86692">
        <w:rPr>
          <w:rFonts w:ascii="Arial Narrow" w:hAnsi="Arial Narrow"/>
          <w:szCs w:val="22"/>
        </w:rPr>
        <w:tab/>
      </w:r>
      <w:r w:rsidR="008F0572" w:rsidRPr="00A86692">
        <w:rPr>
          <w:rFonts w:ascii="Arial Narrow" w:hAnsi="Arial Narrow"/>
          <w:szCs w:val="22"/>
        </w:rPr>
        <w:tab/>
      </w:r>
      <w:r w:rsidR="008F0572" w:rsidRPr="00A86692">
        <w:rPr>
          <w:rFonts w:ascii="Arial Narrow" w:hAnsi="Arial Narrow"/>
          <w:szCs w:val="22"/>
        </w:rPr>
        <w:tab/>
      </w:r>
      <w:r w:rsidR="00C57BB8" w:rsidRPr="00A86692">
        <w:rPr>
          <w:rFonts w:ascii="Arial Narrow" w:hAnsi="Arial Narrow"/>
          <w:szCs w:val="22"/>
        </w:rPr>
        <w:t>_________________________________</w:t>
      </w:r>
    </w:p>
    <w:p w14:paraId="43EB9890" w14:textId="77777777" w:rsidR="00C57BB8" w:rsidRPr="00A86692" w:rsidRDefault="00C57BB8" w:rsidP="00B0763D">
      <w:pPr>
        <w:spacing w:after="220"/>
        <w:rPr>
          <w:rFonts w:ascii="Arial Narrow" w:hAnsi="Arial Narrow"/>
          <w:szCs w:val="22"/>
        </w:rPr>
      </w:pPr>
    </w:p>
    <w:p w14:paraId="4048B25D" w14:textId="77777777" w:rsidR="00C57BB8" w:rsidRPr="00A86692" w:rsidRDefault="00A853CA" w:rsidP="00B0763D">
      <w:pPr>
        <w:spacing w:after="220"/>
        <w:rPr>
          <w:rFonts w:ascii="Arial Narrow" w:hAnsi="Arial Narrow"/>
          <w:szCs w:val="22"/>
        </w:rPr>
      </w:pPr>
      <w:r w:rsidRPr="00A86692">
        <w:rPr>
          <w:rFonts w:ascii="Arial Narrow" w:hAnsi="Arial Narrow"/>
          <w:szCs w:val="22"/>
        </w:rPr>
        <w:t xml:space="preserve">Tenderer's </w:t>
      </w:r>
      <w:r w:rsidR="00185251">
        <w:rPr>
          <w:rFonts w:ascii="Arial Narrow" w:hAnsi="Arial Narrow"/>
          <w:szCs w:val="22"/>
        </w:rPr>
        <w:t>s</w:t>
      </w:r>
      <w:r w:rsidR="008F0572" w:rsidRPr="00A86692">
        <w:rPr>
          <w:rFonts w:ascii="Arial Narrow" w:hAnsi="Arial Narrow"/>
          <w:szCs w:val="22"/>
        </w:rPr>
        <w:t>ignature</w:t>
      </w:r>
      <w:r w:rsidRPr="00A86692">
        <w:rPr>
          <w:rFonts w:ascii="Arial Narrow" w:hAnsi="Arial Narrow"/>
          <w:szCs w:val="22"/>
        </w:rPr>
        <w:tab/>
      </w:r>
      <w:r w:rsidR="00C57BB8" w:rsidRPr="00A86692">
        <w:rPr>
          <w:rFonts w:ascii="Arial Narrow" w:hAnsi="Arial Narrow"/>
          <w:szCs w:val="22"/>
        </w:rPr>
        <w:tab/>
        <w:t>_________________________________</w:t>
      </w:r>
    </w:p>
    <w:p w14:paraId="3FEF82C3" w14:textId="77777777" w:rsidR="00C57BB8" w:rsidRPr="00A86692" w:rsidRDefault="00C57BB8" w:rsidP="00B0763D">
      <w:pPr>
        <w:spacing w:after="220"/>
        <w:rPr>
          <w:rFonts w:ascii="Arial Narrow" w:hAnsi="Arial Narrow"/>
          <w:szCs w:val="22"/>
        </w:rPr>
      </w:pPr>
    </w:p>
    <w:p w14:paraId="627838AC" w14:textId="77777777" w:rsidR="00C57BB8" w:rsidRPr="00A86692" w:rsidRDefault="00C57BB8" w:rsidP="00B0763D">
      <w:pPr>
        <w:spacing w:after="220"/>
        <w:rPr>
          <w:rFonts w:ascii="Arial Narrow" w:hAnsi="Arial Narrow"/>
          <w:szCs w:val="22"/>
        </w:rPr>
      </w:pPr>
      <w:r w:rsidRPr="00A86692">
        <w:rPr>
          <w:rFonts w:ascii="Arial Narrow" w:hAnsi="Arial Narrow"/>
          <w:szCs w:val="22"/>
        </w:rPr>
        <w:t>Date</w:t>
      </w:r>
      <w:r w:rsidRPr="00A86692">
        <w:rPr>
          <w:rFonts w:ascii="Arial Narrow" w:hAnsi="Arial Narrow"/>
          <w:szCs w:val="22"/>
        </w:rPr>
        <w:tab/>
      </w:r>
      <w:r w:rsidR="008F0572" w:rsidRPr="00A86692">
        <w:rPr>
          <w:rFonts w:ascii="Arial Narrow" w:hAnsi="Arial Narrow"/>
          <w:szCs w:val="22"/>
        </w:rPr>
        <w:tab/>
      </w:r>
      <w:r w:rsidR="008F0572" w:rsidRPr="00A86692">
        <w:rPr>
          <w:rFonts w:ascii="Arial Narrow" w:hAnsi="Arial Narrow"/>
          <w:szCs w:val="22"/>
        </w:rPr>
        <w:tab/>
      </w:r>
      <w:r w:rsidR="008F0572" w:rsidRPr="00A86692">
        <w:rPr>
          <w:rFonts w:ascii="Arial Narrow" w:hAnsi="Arial Narrow"/>
          <w:szCs w:val="22"/>
        </w:rPr>
        <w:tab/>
      </w:r>
      <w:r w:rsidRPr="00A86692">
        <w:rPr>
          <w:rFonts w:ascii="Arial Narrow" w:hAnsi="Arial Narrow"/>
          <w:szCs w:val="22"/>
        </w:rPr>
        <w:t>_________________________________</w:t>
      </w:r>
    </w:p>
    <w:p w14:paraId="3923036A" w14:textId="77777777" w:rsidR="00C57BB8" w:rsidRPr="00A86692" w:rsidRDefault="00C57BB8" w:rsidP="00B0763D">
      <w:pPr>
        <w:spacing w:after="220"/>
        <w:rPr>
          <w:rFonts w:ascii="Arial Narrow" w:hAnsi="Arial Narrow"/>
          <w:szCs w:val="22"/>
        </w:rPr>
      </w:pPr>
    </w:p>
    <w:p w14:paraId="0F46C6B0" w14:textId="77777777" w:rsidR="00B0763D" w:rsidRPr="009F3F1B" w:rsidRDefault="00B0763D" w:rsidP="00A86692">
      <w:pPr>
        <w:pStyle w:val="ITTScheduleHeading1"/>
        <w:shd w:val="clear" w:color="auto" w:fill="auto"/>
        <w:rPr>
          <w:rFonts w:ascii="Arial Narrow" w:hAnsi="Arial Narrow"/>
          <w:sz w:val="30"/>
          <w:szCs w:val="30"/>
        </w:rPr>
      </w:pPr>
      <w:bookmarkStart w:id="24" w:name="_Toc137014566"/>
      <w:bookmarkStart w:id="25" w:name="_Toc137442217"/>
      <w:bookmarkStart w:id="26" w:name="_Toc133844114"/>
      <w:r w:rsidRPr="009F3F1B">
        <w:rPr>
          <w:rFonts w:ascii="Arial Narrow" w:hAnsi="Arial Narrow"/>
          <w:sz w:val="30"/>
          <w:szCs w:val="30"/>
        </w:rPr>
        <w:lastRenderedPageBreak/>
        <w:t>SCHEDULE</w:t>
      </w:r>
      <w:r w:rsidR="00A33563" w:rsidRPr="009F3F1B">
        <w:rPr>
          <w:rFonts w:ascii="Arial Narrow" w:hAnsi="Arial Narrow"/>
          <w:sz w:val="30"/>
          <w:szCs w:val="30"/>
        </w:rPr>
        <w:t xml:space="preserve"> </w:t>
      </w:r>
      <w:bookmarkEnd w:id="24"/>
      <w:bookmarkEnd w:id="25"/>
      <w:r w:rsidR="00A853CA" w:rsidRPr="009F3F1B">
        <w:rPr>
          <w:rFonts w:ascii="Arial Narrow" w:hAnsi="Arial Narrow"/>
          <w:sz w:val="30"/>
          <w:szCs w:val="30"/>
        </w:rPr>
        <w:t>2</w:t>
      </w:r>
      <w:bookmarkEnd w:id="26"/>
    </w:p>
    <w:p w14:paraId="294104DD" w14:textId="7A1824C0" w:rsidR="00FE557F" w:rsidRPr="00242FA7" w:rsidRDefault="00430449" w:rsidP="00242FA7">
      <w:pPr>
        <w:jc w:val="center"/>
        <w:rPr>
          <w:rFonts w:ascii="Arial Narrow" w:hAnsi="Arial Narrow"/>
          <w:b/>
          <w:sz w:val="30"/>
          <w:szCs w:val="30"/>
        </w:rPr>
      </w:pPr>
      <w:r>
        <w:rPr>
          <w:rFonts w:ascii="Arial Narrow" w:hAnsi="Arial Narrow"/>
          <w:b/>
          <w:sz w:val="30"/>
          <w:szCs w:val="30"/>
        </w:rPr>
        <w:t xml:space="preserve">BLACK START </w:t>
      </w:r>
      <w:r w:rsidR="009E2662">
        <w:rPr>
          <w:rFonts w:ascii="Arial Narrow" w:hAnsi="Arial Narrow"/>
          <w:b/>
          <w:sz w:val="30"/>
          <w:szCs w:val="30"/>
        </w:rPr>
        <w:t>SOURCE</w:t>
      </w:r>
      <w:r w:rsidR="00FE557F" w:rsidRPr="00242FA7">
        <w:rPr>
          <w:rFonts w:ascii="Arial Narrow" w:hAnsi="Arial Narrow"/>
          <w:b/>
          <w:sz w:val="30"/>
          <w:szCs w:val="30"/>
        </w:rPr>
        <w:t xml:space="preserve"> SERVICE</w:t>
      </w:r>
      <w:r w:rsidR="00DD7216">
        <w:rPr>
          <w:rFonts w:ascii="Arial Narrow" w:hAnsi="Arial Narrow"/>
          <w:b/>
          <w:sz w:val="30"/>
          <w:szCs w:val="30"/>
        </w:rPr>
        <w:t>S</w:t>
      </w:r>
    </w:p>
    <w:p w14:paraId="3E644B3B" w14:textId="77777777" w:rsidR="00FE557F" w:rsidRPr="001D2A0D" w:rsidRDefault="005A32FC" w:rsidP="0021288B">
      <w:pPr>
        <w:pStyle w:val="Heading1"/>
        <w:numPr>
          <w:ilvl w:val="0"/>
          <w:numId w:val="0"/>
        </w:numPr>
        <w:shd w:val="clear" w:color="auto" w:fill="auto"/>
        <w:tabs>
          <w:tab w:val="clear" w:pos="1361"/>
        </w:tabs>
        <w:spacing w:before="180" w:after="120" w:line="340" w:lineRule="exact"/>
        <w:rPr>
          <w:rFonts w:ascii="Arial Narrow" w:hAnsi="Arial Narrow"/>
        </w:rPr>
      </w:pPr>
      <w:r>
        <w:rPr>
          <w:rFonts w:ascii="Arial Narrow" w:hAnsi="Arial Narrow"/>
        </w:rPr>
        <w:t xml:space="preserve">System </w:t>
      </w:r>
      <w:r w:rsidR="00FE557F" w:rsidRPr="001D2A0D">
        <w:rPr>
          <w:rFonts w:ascii="Arial Narrow" w:hAnsi="Arial Narrow"/>
        </w:rPr>
        <w:t>Restart</w:t>
      </w:r>
      <w:r>
        <w:rPr>
          <w:rFonts w:ascii="Arial Narrow" w:hAnsi="Arial Narrow"/>
        </w:rPr>
        <w:t xml:space="preserve"> Ancillary</w:t>
      </w:r>
      <w:r w:rsidR="00FE557F" w:rsidRPr="001D2A0D">
        <w:rPr>
          <w:rFonts w:ascii="Arial Narrow" w:hAnsi="Arial Narrow"/>
        </w:rPr>
        <w:t xml:space="preserve"> Service</w:t>
      </w:r>
    </w:p>
    <w:p w14:paraId="28A6F213" w14:textId="62D15E5B" w:rsidR="00FE557F" w:rsidRPr="001D2A0D" w:rsidRDefault="00FE557F" w:rsidP="0072709B">
      <w:pPr>
        <w:pStyle w:val="Heading2"/>
        <w:numPr>
          <w:ilvl w:val="6"/>
          <w:numId w:val="5"/>
        </w:numPr>
        <w:tabs>
          <w:tab w:val="clear" w:pos="3240"/>
          <w:tab w:val="num" w:pos="567"/>
        </w:tabs>
        <w:ind w:left="567" w:hanging="567"/>
      </w:pPr>
      <w:r w:rsidRPr="001D2A0D">
        <w:t xml:space="preserve">Facilities </w:t>
      </w:r>
    </w:p>
    <w:p w14:paraId="27A17C00" w14:textId="4A4DBC00" w:rsidR="00FE557F" w:rsidRPr="001D2A0D" w:rsidRDefault="00242FA7" w:rsidP="00BD7077">
      <w:pPr>
        <w:pStyle w:val="BodyText"/>
        <w:ind w:left="0"/>
      </w:pPr>
      <w:r w:rsidRPr="00BD7077">
        <w:t xml:space="preserve">The </w:t>
      </w:r>
      <w:r>
        <w:rPr>
          <w:i/>
        </w:rPr>
        <w:t>s</w:t>
      </w:r>
      <w:r w:rsidR="005A32FC" w:rsidRPr="008025E2">
        <w:rPr>
          <w:i/>
        </w:rPr>
        <w:t xml:space="preserve">ystem </w:t>
      </w:r>
      <w:r w:rsidR="00FE557F" w:rsidRPr="001D2A0D">
        <w:rPr>
          <w:i/>
        </w:rPr>
        <w:t>restart</w:t>
      </w:r>
      <w:r w:rsidR="005A32FC">
        <w:rPr>
          <w:i/>
        </w:rPr>
        <w:t xml:space="preserve"> ancillary</w:t>
      </w:r>
      <w:r w:rsidR="00FE557F" w:rsidRPr="001D2A0D">
        <w:rPr>
          <w:i/>
        </w:rPr>
        <w:t xml:space="preserve"> service</w:t>
      </w:r>
      <w:r w:rsidR="00FE557F" w:rsidRPr="001D2A0D">
        <w:t xml:space="preserve"> will be provided </w:t>
      </w:r>
      <w:r w:rsidR="00E03B60">
        <w:t xml:space="preserve">as a black start source </w:t>
      </w:r>
      <w:r w:rsidR="00FE557F" w:rsidRPr="001D2A0D">
        <w:t xml:space="preserve">in the following manner and using the following </w:t>
      </w:r>
      <w:r w:rsidR="00FE557F" w:rsidRPr="00351F0D">
        <w:rPr>
          <w:i/>
        </w:rPr>
        <w:t>facilities</w:t>
      </w:r>
      <w:r w:rsidR="00FE557F" w:rsidRPr="001D2A0D">
        <w:t>:</w:t>
      </w:r>
    </w:p>
    <w:tbl>
      <w:tblPr>
        <w:tblStyle w:val="TableGrid"/>
        <w:tblW w:w="9185" w:type="dxa"/>
        <w:tblInd w:w="-5" w:type="dxa"/>
        <w:tblLayout w:type="fixed"/>
        <w:tblLook w:val="01A0" w:firstRow="1" w:lastRow="0" w:firstColumn="1" w:lastColumn="1" w:noHBand="0" w:noVBand="0"/>
      </w:tblPr>
      <w:tblGrid>
        <w:gridCol w:w="2835"/>
        <w:gridCol w:w="6350"/>
      </w:tblGrid>
      <w:tr w:rsidR="00FE557F" w:rsidRPr="00315BED" w14:paraId="163FB361" w14:textId="77777777" w:rsidTr="00BD7077">
        <w:tc>
          <w:tcPr>
            <w:tcW w:w="2835" w:type="dxa"/>
            <w:shd w:val="clear" w:color="auto" w:fill="auto"/>
            <w:vAlign w:val="center"/>
          </w:tcPr>
          <w:p w14:paraId="77861390" w14:textId="77777777" w:rsidR="00FE557F" w:rsidRPr="00AD4C2B" w:rsidRDefault="00FE557F" w:rsidP="0064064B">
            <w:pPr>
              <w:pStyle w:val="TableText"/>
              <w:rPr>
                <w:b/>
              </w:rPr>
            </w:pPr>
            <w:r w:rsidRPr="00AD4C2B">
              <w:rPr>
                <w:b/>
              </w:rPr>
              <w:t>Delivery Point</w:t>
            </w:r>
          </w:p>
        </w:tc>
        <w:tc>
          <w:tcPr>
            <w:tcW w:w="6350" w:type="dxa"/>
            <w:shd w:val="clear" w:color="auto" w:fill="auto"/>
          </w:tcPr>
          <w:p w14:paraId="6DA962C9" w14:textId="77777777" w:rsidR="00FE557F" w:rsidRPr="00315BED" w:rsidRDefault="00FE557F" w:rsidP="0064064B">
            <w:pPr>
              <w:pStyle w:val="TableText"/>
            </w:pPr>
          </w:p>
        </w:tc>
      </w:tr>
      <w:tr w:rsidR="00FE557F" w:rsidRPr="00315BED" w14:paraId="51215BCA" w14:textId="77777777" w:rsidTr="00BD7077">
        <w:tc>
          <w:tcPr>
            <w:tcW w:w="2835" w:type="dxa"/>
            <w:shd w:val="clear" w:color="auto" w:fill="auto"/>
            <w:vAlign w:val="center"/>
          </w:tcPr>
          <w:p w14:paraId="24D15B8B" w14:textId="33C51DBD" w:rsidR="00FE557F" w:rsidRPr="00AD4C2B" w:rsidRDefault="005A32FC" w:rsidP="00A50EFB">
            <w:pPr>
              <w:pStyle w:val="TableText"/>
              <w:rPr>
                <w:b/>
              </w:rPr>
            </w:pPr>
            <w:r w:rsidRPr="00AD4C2B">
              <w:rPr>
                <w:b/>
              </w:rPr>
              <w:t>Connection Point</w:t>
            </w:r>
          </w:p>
        </w:tc>
        <w:tc>
          <w:tcPr>
            <w:tcW w:w="6350" w:type="dxa"/>
            <w:shd w:val="clear" w:color="auto" w:fill="auto"/>
          </w:tcPr>
          <w:p w14:paraId="0EB1AC08" w14:textId="77777777" w:rsidR="00FE557F" w:rsidRPr="00315BED" w:rsidRDefault="00FE557F" w:rsidP="0064064B">
            <w:pPr>
              <w:pStyle w:val="TableText"/>
            </w:pPr>
          </w:p>
        </w:tc>
      </w:tr>
      <w:tr w:rsidR="005A32FC" w:rsidRPr="00296BFF" w14:paraId="3121063C" w14:textId="77777777" w:rsidTr="00BD7077">
        <w:tblPrEx>
          <w:tblLook w:val="04A0" w:firstRow="1" w:lastRow="0" w:firstColumn="1" w:lastColumn="0" w:noHBand="0" w:noVBand="1"/>
        </w:tblPrEx>
        <w:trPr>
          <w:trHeight w:val="159"/>
        </w:trPr>
        <w:tc>
          <w:tcPr>
            <w:tcW w:w="2835" w:type="dxa"/>
            <w:vMerge w:val="restart"/>
          </w:tcPr>
          <w:p w14:paraId="07CB26A8" w14:textId="77777777" w:rsidR="005A32FC" w:rsidRPr="004308EB" w:rsidRDefault="005A32FC" w:rsidP="00345AEC">
            <w:pPr>
              <w:spacing w:line="360" w:lineRule="auto"/>
              <w:rPr>
                <w:rFonts w:ascii="Arial Narrow" w:hAnsi="Arial Narrow" w:cs="Arial"/>
                <w:b/>
                <w:sz w:val="20"/>
              </w:rPr>
            </w:pPr>
            <w:r w:rsidRPr="00BA4229">
              <w:rPr>
                <w:rFonts w:ascii="Arial Narrow" w:hAnsi="Arial Narrow" w:cs="Arial"/>
                <w:b/>
                <w:sz w:val="20"/>
              </w:rPr>
              <w:t>SRAS Equipment</w:t>
            </w:r>
            <w:r>
              <w:rPr>
                <w:rFonts w:ascii="Arial Narrow" w:hAnsi="Arial Narrow" w:cs="Arial"/>
                <w:b/>
                <w:sz w:val="20"/>
              </w:rPr>
              <w:t xml:space="preserve"> </w:t>
            </w:r>
          </w:p>
        </w:tc>
        <w:tc>
          <w:tcPr>
            <w:tcW w:w="6350" w:type="dxa"/>
          </w:tcPr>
          <w:p w14:paraId="1796BF72" w14:textId="77777777" w:rsidR="005A32FC" w:rsidRDefault="005A32FC" w:rsidP="00345AEC">
            <w:pPr>
              <w:rPr>
                <w:rFonts w:ascii="Arial Narrow" w:hAnsi="Arial Narrow"/>
                <w:sz w:val="20"/>
              </w:rPr>
            </w:pPr>
            <w:r w:rsidRPr="000C1594">
              <w:rPr>
                <w:rFonts w:ascii="Arial Narrow" w:hAnsi="Arial Narrow"/>
                <w:sz w:val="20"/>
              </w:rPr>
              <w:t xml:space="preserve">Major components: </w:t>
            </w:r>
          </w:p>
          <w:p w14:paraId="0D3B25AD" w14:textId="77777777" w:rsidR="000C1594" w:rsidRPr="000C1594" w:rsidRDefault="000C1594" w:rsidP="00345AEC">
            <w:pPr>
              <w:rPr>
                <w:rFonts w:ascii="Arial Narrow" w:hAnsi="Arial Narrow"/>
                <w:sz w:val="20"/>
              </w:rPr>
            </w:pPr>
          </w:p>
        </w:tc>
      </w:tr>
      <w:tr w:rsidR="005A32FC" w:rsidRPr="00296BFF" w14:paraId="512F55D9" w14:textId="77777777" w:rsidTr="00BD7077">
        <w:tblPrEx>
          <w:tblLook w:val="04A0" w:firstRow="1" w:lastRow="0" w:firstColumn="1" w:lastColumn="0" w:noHBand="0" w:noVBand="1"/>
        </w:tblPrEx>
        <w:trPr>
          <w:trHeight w:val="158"/>
        </w:trPr>
        <w:tc>
          <w:tcPr>
            <w:tcW w:w="2835" w:type="dxa"/>
            <w:vMerge/>
          </w:tcPr>
          <w:p w14:paraId="5AF901F7" w14:textId="77777777" w:rsidR="005A32FC" w:rsidRPr="00BA4229" w:rsidRDefault="005A32FC" w:rsidP="00345AEC">
            <w:pPr>
              <w:spacing w:line="360" w:lineRule="auto"/>
              <w:rPr>
                <w:rFonts w:ascii="Arial Narrow" w:hAnsi="Arial Narrow" w:cs="Arial"/>
                <w:b/>
                <w:sz w:val="20"/>
              </w:rPr>
            </w:pPr>
          </w:p>
        </w:tc>
        <w:tc>
          <w:tcPr>
            <w:tcW w:w="6350" w:type="dxa"/>
          </w:tcPr>
          <w:p w14:paraId="1DCD363A" w14:textId="77777777" w:rsidR="005A32FC" w:rsidRDefault="005A32FC" w:rsidP="00345AEC">
            <w:pPr>
              <w:rPr>
                <w:rFonts w:ascii="Arial Narrow" w:hAnsi="Arial Narrow"/>
                <w:sz w:val="20"/>
              </w:rPr>
            </w:pPr>
            <w:r w:rsidRPr="000C1594">
              <w:rPr>
                <w:rFonts w:ascii="Arial Narrow" w:hAnsi="Arial Narrow"/>
                <w:sz w:val="20"/>
              </w:rPr>
              <w:t>Other components:</w:t>
            </w:r>
          </w:p>
          <w:p w14:paraId="64A60C36" w14:textId="77777777" w:rsidR="000C1594" w:rsidRPr="000C1594" w:rsidRDefault="000C1594" w:rsidP="00345AEC">
            <w:pPr>
              <w:rPr>
                <w:rFonts w:ascii="Arial Narrow" w:hAnsi="Arial Narrow"/>
                <w:sz w:val="20"/>
              </w:rPr>
            </w:pPr>
          </w:p>
        </w:tc>
      </w:tr>
      <w:tr w:rsidR="005A32FC" w:rsidRPr="00296BFF" w14:paraId="379AD78C" w14:textId="77777777" w:rsidTr="00BD7077">
        <w:tblPrEx>
          <w:tblLook w:val="04A0" w:firstRow="1" w:lastRow="0" w:firstColumn="1" w:lastColumn="0" w:noHBand="0" w:noVBand="1"/>
        </w:tblPrEx>
        <w:trPr>
          <w:trHeight w:val="158"/>
        </w:trPr>
        <w:tc>
          <w:tcPr>
            <w:tcW w:w="2835" w:type="dxa"/>
            <w:vMerge/>
          </w:tcPr>
          <w:p w14:paraId="1FFD44B2" w14:textId="77777777" w:rsidR="005A32FC" w:rsidRPr="00BA4229" w:rsidRDefault="005A32FC" w:rsidP="00345AEC">
            <w:pPr>
              <w:spacing w:line="360" w:lineRule="auto"/>
              <w:rPr>
                <w:rFonts w:ascii="Arial Narrow" w:hAnsi="Arial Narrow" w:cs="Arial"/>
                <w:b/>
                <w:sz w:val="20"/>
              </w:rPr>
            </w:pPr>
          </w:p>
        </w:tc>
        <w:tc>
          <w:tcPr>
            <w:tcW w:w="6350" w:type="dxa"/>
          </w:tcPr>
          <w:p w14:paraId="5241127E" w14:textId="77777777" w:rsidR="005A32FC" w:rsidRDefault="005A32FC" w:rsidP="00345AEC">
            <w:pPr>
              <w:rPr>
                <w:rFonts w:ascii="Arial Narrow" w:hAnsi="Arial Narrow"/>
                <w:sz w:val="20"/>
              </w:rPr>
            </w:pPr>
            <w:r w:rsidRPr="000C1594">
              <w:rPr>
                <w:rFonts w:ascii="Arial Narrow" w:hAnsi="Arial Narrow"/>
                <w:sz w:val="20"/>
              </w:rPr>
              <w:t>SRAS Third Party Assets:</w:t>
            </w:r>
          </w:p>
          <w:p w14:paraId="256F3D99" w14:textId="77777777" w:rsidR="000C1594" w:rsidRPr="000C1594" w:rsidRDefault="000C1594" w:rsidP="00345AEC">
            <w:pPr>
              <w:rPr>
                <w:rFonts w:ascii="Arial Narrow" w:hAnsi="Arial Narrow"/>
                <w:sz w:val="20"/>
              </w:rPr>
            </w:pPr>
          </w:p>
        </w:tc>
      </w:tr>
      <w:tr w:rsidR="005A32FC" w:rsidRPr="00F943E1" w14:paraId="6A144A64" w14:textId="77777777" w:rsidTr="00BD7077">
        <w:tblPrEx>
          <w:tblLook w:val="04A0" w:firstRow="1" w:lastRow="0" w:firstColumn="1" w:lastColumn="0" w:noHBand="0" w:noVBand="1"/>
        </w:tblPrEx>
        <w:tc>
          <w:tcPr>
            <w:tcW w:w="2835" w:type="dxa"/>
          </w:tcPr>
          <w:p w14:paraId="4A4BDBD8" w14:textId="3E7BE799" w:rsidR="005A32FC" w:rsidRPr="00BA4229" w:rsidRDefault="00423C5E" w:rsidP="00423C5E">
            <w:pPr>
              <w:spacing w:after="0" w:line="360" w:lineRule="auto"/>
              <w:rPr>
                <w:rFonts w:ascii="Arial Narrow" w:hAnsi="Arial Narrow" w:cs="Arial"/>
                <w:sz w:val="20"/>
              </w:rPr>
            </w:pPr>
            <w:r>
              <w:rPr>
                <w:rFonts w:ascii="Arial Narrow" w:hAnsi="Arial Narrow" w:cs="Arial"/>
                <w:b/>
                <w:sz w:val="20"/>
              </w:rPr>
              <w:t xml:space="preserve">Network Delivery </w:t>
            </w:r>
            <w:r w:rsidR="005A32FC">
              <w:rPr>
                <w:rFonts w:ascii="Arial Narrow" w:hAnsi="Arial Narrow" w:cs="Arial"/>
                <w:b/>
                <w:sz w:val="20"/>
              </w:rPr>
              <w:t>Components</w:t>
            </w:r>
          </w:p>
        </w:tc>
        <w:tc>
          <w:tcPr>
            <w:tcW w:w="6350" w:type="dxa"/>
          </w:tcPr>
          <w:p w14:paraId="5B3DB9F8" w14:textId="77777777" w:rsidR="005A32FC" w:rsidRPr="00F943E1" w:rsidRDefault="005A32FC" w:rsidP="00345AEC">
            <w:pPr>
              <w:spacing w:after="0" w:line="360" w:lineRule="auto"/>
              <w:rPr>
                <w:rFonts w:cs="Arial"/>
                <w:sz w:val="20"/>
              </w:rPr>
            </w:pPr>
          </w:p>
        </w:tc>
      </w:tr>
    </w:tbl>
    <w:p w14:paraId="2776BC5D" w14:textId="77777777" w:rsidR="005A32FC" w:rsidRDefault="005A32FC" w:rsidP="000A5F24">
      <w:pPr>
        <w:pStyle w:val="Heading2"/>
        <w:numPr>
          <w:ilvl w:val="0"/>
          <w:numId w:val="0"/>
        </w:numPr>
        <w:spacing w:before="120" w:after="120" w:line="300" w:lineRule="exact"/>
        <w:ind w:left="992"/>
        <w:rPr>
          <w:rFonts w:ascii="Arial Narrow" w:hAnsi="Arial Narrow"/>
        </w:rPr>
      </w:pPr>
    </w:p>
    <w:p w14:paraId="1125140E" w14:textId="5C262ED7" w:rsidR="00FE557F" w:rsidRPr="001D2A0D" w:rsidRDefault="00FE557F" w:rsidP="0072709B">
      <w:pPr>
        <w:pStyle w:val="Heading2"/>
        <w:numPr>
          <w:ilvl w:val="6"/>
          <w:numId w:val="5"/>
        </w:numPr>
        <w:tabs>
          <w:tab w:val="clear" w:pos="3240"/>
        </w:tabs>
        <w:spacing w:before="120" w:after="120" w:line="300" w:lineRule="exact"/>
        <w:ind w:left="567" w:hanging="567"/>
        <w:rPr>
          <w:rFonts w:ascii="Arial Narrow" w:hAnsi="Arial Narrow"/>
        </w:rPr>
      </w:pPr>
      <w:r w:rsidRPr="001D2A0D">
        <w:rPr>
          <w:rFonts w:ascii="Arial Narrow" w:hAnsi="Arial Narrow"/>
        </w:rPr>
        <w:t>Levels of Performance</w:t>
      </w:r>
    </w:p>
    <w:p w14:paraId="567F0F83" w14:textId="61D2E350" w:rsidR="00FE557F" w:rsidRPr="001D2A0D" w:rsidRDefault="00EC0F37" w:rsidP="00BD7077">
      <w:pPr>
        <w:rPr>
          <w:rFonts w:ascii="Arial Narrow" w:hAnsi="Arial Narrow"/>
          <w:iCs/>
        </w:rPr>
      </w:pPr>
      <w:r>
        <w:rPr>
          <w:rStyle w:val="BodyTextChar"/>
        </w:rPr>
        <w:t>T</w:t>
      </w:r>
      <w:r w:rsidR="00FE557F" w:rsidRPr="0064064B">
        <w:rPr>
          <w:rStyle w:val="BodyTextChar"/>
        </w:rPr>
        <w:t>he following are the expected levels of performance of the Service</w:t>
      </w:r>
      <w:r w:rsidR="00FE557F" w:rsidRPr="001D2A0D">
        <w:rPr>
          <w:rFonts w:ascii="Arial Narrow" w:hAnsi="Arial Narrow"/>
        </w:rPr>
        <w:t>:</w:t>
      </w:r>
    </w:p>
    <w:tbl>
      <w:tblPr>
        <w:tblStyle w:val="TableGrid"/>
        <w:tblW w:w="4957" w:type="pct"/>
        <w:tblInd w:w="-5" w:type="dxa"/>
        <w:tblLayout w:type="fixed"/>
        <w:tblLook w:val="01A0" w:firstRow="1" w:lastRow="0" w:firstColumn="1" w:lastColumn="1" w:noHBand="0" w:noVBand="0"/>
      </w:tblPr>
      <w:tblGrid>
        <w:gridCol w:w="7333"/>
        <w:gridCol w:w="1605"/>
        <w:gridCol w:w="45"/>
      </w:tblGrid>
      <w:tr w:rsidR="00FE557F" w:rsidRPr="00315BED" w14:paraId="041CAB94" w14:textId="77777777" w:rsidTr="00E24B88">
        <w:trPr>
          <w:tblHeader/>
        </w:trPr>
        <w:tc>
          <w:tcPr>
            <w:tcW w:w="733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382F7CB" w14:textId="77777777" w:rsidR="00FE557F" w:rsidRPr="00315BED" w:rsidRDefault="00FE557F" w:rsidP="00DE5C42">
            <w:pPr>
              <w:pStyle w:val="TableTitle"/>
            </w:pPr>
            <w:r w:rsidRPr="00315BED">
              <w:t>Performance Requirement</w:t>
            </w:r>
          </w:p>
        </w:tc>
        <w:tc>
          <w:tcPr>
            <w:tcW w:w="165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2691378" w14:textId="77777777" w:rsidR="00FE557F" w:rsidRPr="00315BED" w:rsidRDefault="00FE557F" w:rsidP="00DE5C42">
            <w:pPr>
              <w:pStyle w:val="TableTitle"/>
            </w:pPr>
            <w:r w:rsidRPr="00315BED">
              <w:t>Expected level of performance</w:t>
            </w:r>
          </w:p>
        </w:tc>
      </w:tr>
      <w:tr w:rsidR="00FE557F" w:rsidRPr="00315BED" w14:paraId="7B5E2424" w14:textId="77777777" w:rsidTr="00E24B88">
        <w:tc>
          <w:tcPr>
            <w:tcW w:w="7333" w:type="dxa"/>
            <w:tcBorders>
              <w:top w:val="single" w:sz="4" w:space="0" w:color="auto"/>
              <w:left w:val="single" w:sz="4" w:space="0" w:color="auto"/>
              <w:bottom w:val="single" w:sz="4" w:space="0" w:color="auto"/>
              <w:right w:val="single" w:sz="4" w:space="0" w:color="auto"/>
            </w:tcBorders>
            <w:shd w:val="clear" w:color="auto" w:fill="auto"/>
          </w:tcPr>
          <w:p w14:paraId="5AEEFD18" w14:textId="34FA12D5" w:rsidR="00FE557F" w:rsidRPr="00315BED" w:rsidRDefault="00FE557F" w:rsidP="00A50EFB">
            <w:pPr>
              <w:pStyle w:val="TableText"/>
            </w:pPr>
            <w:r w:rsidRPr="00315BED">
              <w:t>Time to be ready to commence</w:t>
            </w:r>
            <w:r w:rsidR="00351F0D">
              <w:t xml:space="preserve"> sending out electricity to the</w:t>
            </w:r>
            <w:r w:rsidRPr="00315BED">
              <w:t xml:space="preserve"> </w:t>
            </w:r>
            <w:r w:rsidR="00351F0D" w:rsidRPr="00351F0D">
              <w:rPr>
                <w:iCs/>
              </w:rPr>
              <w:t>Delivery Point</w:t>
            </w:r>
            <w:r w:rsidR="00351F0D" w:rsidRPr="00315BED">
              <w:t xml:space="preserve"> </w:t>
            </w:r>
            <w:r w:rsidR="00A01113">
              <w:t>following</w:t>
            </w:r>
            <w:r w:rsidRPr="00315BED">
              <w:t xml:space="preserve"> a</w:t>
            </w:r>
            <w:r w:rsidR="006B4489">
              <w:t>n in</w:t>
            </w:r>
            <w:r w:rsidR="00E33DC8">
              <w:t>struction to start or TTHL(as applicable)</w:t>
            </w:r>
            <w:r w:rsidRPr="00315BED">
              <w:t xml:space="preserve"> </w:t>
            </w:r>
          </w:p>
        </w:tc>
        <w:tc>
          <w:tcPr>
            <w:tcW w:w="1650" w:type="dxa"/>
            <w:gridSpan w:val="2"/>
            <w:tcBorders>
              <w:top w:val="single" w:sz="4" w:space="0" w:color="auto"/>
              <w:left w:val="single" w:sz="4" w:space="0" w:color="auto"/>
              <w:bottom w:val="single" w:sz="4" w:space="0" w:color="auto"/>
              <w:right w:val="single" w:sz="4" w:space="0" w:color="auto"/>
            </w:tcBorders>
            <w:shd w:val="clear" w:color="auto" w:fill="auto"/>
          </w:tcPr>
          <w:p w14:paraId="1D7061A1" w14:textId="02241193" w:rsidR="00FE557F" w:rsidRPr="00315BED" w:rsidRDefault="00A01113" w:rsidP="00A50EFB">
            <w:pPr>
              <w:pStyle w:val="TableTextright"/>
            </w:pPr>
            <w:r>
              <w:t>minutes</w:t>
            </w:r>
          </w:p>
        </w:tc>
      </w:tr>
      <w:tr w:rsidR="005A245F" w:rsidRPr="00315BED" w14:paraId="3D20F64C" w14:textId="77777777" w:rsidTr="00E24B88">
        <w:tc>
          <w:tcPr>
            <w:tcW w:w="7333" w:type="dxa"/>
            <w:tcBorders>
              <w:top w:val="single" w:sz="4" w:space="0" w:color="auto"/>
              <w:left w:val="single" w:sz="4" w:space="0" w:color="auto"/>
              <w:bottom w:val="single" w:sz="4" w:space="0" w:color="auto"/>
              <w:right w:val="single" w:sz="4" w:space="0" w:color="auto"/>
            </w:tcBorders>
            <w:shd w:val="clear" w:color="auto" w:fill="auto"/>
          </w:tcPr>
          <w:p w14:paraId="4E292F19" w14:textId="7CE60342" w:rsidR="005A245F" w:rsidRPr="00315BED" w:rsidRDefault="005A245F" w:rsidP="005A245F">
            <w:pPr>
              <w:pStyle w:val="TableText"/>
            </w:pPr>
            <w:r>
              <w:t xml:space="preserve">If applicable, additional time to initiate operations to prepare for sending out electricity after </w:t>
            </w:r>
            <w:r w:rsidR="00B9096B">
              <w:t xml:space="preserve">instruction or </w:t>
            </w:r>
            <w:r w:rsidR="00B01E4A">
              <w:t xml:space="preserve">TTHL (as applicable) </w:t>
            </w:r>
          </w:p>
        </w:tc>
        <w:tc>
          <w:tcPr>
            <w:tcW w:w="1650" w:type="dxa"/>
            <w:gridSpan w:val="2"/>
            <w:tcBorders>
              <w:top w:val="single" w:sz="4" w:space="0" w:color="auto"/>
              <w:left w:val="single" w:sz="4" w:space="0" w:color="auto"/>
              <w:bottom w:val="single" w:sz="4" w:space="0" w:color="auto"/>
              <w:right w:val="single" w:sz="4" w:space="0" w:color="auto"/>
            </w:tcBorders>
            <w:shd w:val="clear" w:color="auto" w:fill="auto"/>
          </w:tcPr>
          <w:p w14:paraId="4F4FE775" w14:textId="77777777" w:rsidR="005A245F" w:rsidRDefault="005A245F" w:rsidP="00DC21EC">
            <w:pPr>
              <w:pStyle w:val="Indent2"/>
              <w:numPr>
                <w:ilvl w:val="0"/>
                <w:numId w:val="0"/>
              </w:numPr>
              <w:tabs>
                <w:tab w:val="right" w:pos="2726"/>
              </w:tabs>
              <w:spacing w:before="60" w:after="60"/>
              <w:ind w:left="-396"/>
              <w:jc w:val="right"/>
              <w:rPr>
                <w:rFonts w:ascii="Arial Narrow" w:hAnsi="Arial Narrow" w:cs="Arial"/>
                <w:sz w:val="20"/>
                <w:szCs w:val="22"/>
              </w:rPr>
            </w:pPr>
            <w:r>
              <w:rPr>
                <w:rFonts w:ascii="Arial Narrow" w:hAnsi="Arial Narrow" w:cs="Arial"/>
                <w:sz w:val="20"/>
                <w:szCs w:val="22"/>
              </w:rPr>
              <w:t>[ ] minutes</w:t>
            </w:r>
          </w:p>
          <w:p w14:paraId="1D00A75A" w14:textId="476F422E" w:rsidR="005A245F" w:rsidRPr="00315BED" w:rsidRDefault="005A245F" w:rsidP="005A245F">
            <w:pPr>
              <w:pStyle w:val="TableTextright"/>
            </w:pPr>
            <w:r w:rsidRPr="00F57D03">
              <w:rPr>
                <w:sz w:val="18"/>
              </w:rPr>
              <w:t xml:space="preserve">[includes any time to mobilise additional resources. Specify if different </w:t>
            </w:r>
            <w:r>
              <w:rPr>
                <w:sz w:val="18"/>
              </w:rPr>
              <w:t>times</w:t>
            </w:r>
            <w:r w:rsidRPr="00F57D03">
              <w:rPr>
                <w:sz w:val="18"/>
              </w:rPr>
              <w:t xml:space="preserve"> apply based on time of day or day type]</w:t>
            </w:r>
          </w:p>
        </w:tc>
      </w:tr>
      <w:tr w:rsidR="00FE557F" w:rsidRPr="00315BED" w14:paraId="182F7C14" w14:textId="77777777" w:rsidTr="00E24B88">
        <w:tc>
          <w:tcPr>
            <w:tcW w:w="7333" w:type="dxa"/>
            <w:tcBorders>
              <w:top w:val="single" w:sz="4" w:space="0" w:color="auto"/>
              <w:left w:val="single" w:sz="4" w:space="0" w:color="auto"/>
              <w:bottom w:val="single" w:sz="4" w:space="0" w:color="auto"/>
              <w:right w:val="single" w:sz="4" w:space="0" w:color="auto"/>
            </w:tcBorders>
            <w:shd w:val="clear" w:color="auto" w:fill="auto"/>
          </w:tcPr>
          <w:p w14:paraId="659D844B" w14:textId="77777777" w:rsidR="00FE557F" w:rsidRPr="00315BED" w:rsidRDefault="00FE557F" w:rsidP="0064064B">
            <w:pPr>
              <w:pStyle w:val="TableText"/>
            </w:pPr>
            <w:r w:rsidRPr="00315BED">
              <w:t>The capability of the SRAS Equipment to export electricity to the Delivery Point (</w:t>
            </w:r>
            <w:r w:rsidRPr="00315BED">
              <w:rPr>
                <w:b/>
              </w:rPr>
              <w:t>Electricity Export Capability</w:t>
            </w:r>
            <w:r w:rsidRPr="00315BED">
              <w:t>)</w:t>
            </w:r>
          </w:p>
        </w:tc>
        <w:tc>
          <w:tcPr>
            <w:tcW w:w="1650" w:type="dxa"/>
            <w:gridSpan w:val="2"/>
            <w:tcBorders>
              <w:top w:val="single" w:sz="4" w:space="0" w:color="auto"/>
              <w:left w:val="single" w:sz="4" w:space="0" w:color="auto"/>
              <w:bottom w:val="single" w:sz="4" w:space="0" w:color="auto"/>
              <w:right w:val="single" w:sz="4" w:space="0" w:color="auto"/>
            </w:tcBorders>
            <w:shd w:val="clear" w:color="auto" w:fill="auto"/>
          </w:tcPr>
          <w:p w14:paraId="66E91DF7" w14:textId="77777777" w:rsidR="00FE557F" w:rsidRPr="00315BED" w:rsidRDefault="00FE557F" w:rsidP="00DE5C42">
            <w:pPr>
              <w:pStyle w:val="TableTextright"/>
            </w:pPr>
            <w:r w:rsidRPr="00315BED">
              <w:t>MW</w:t>
            </w:r>
          </w:p>
        </w:tc>
      </w:tr>
      <w:tr w:rsidR="00E24B88" w:rsidRPr="00315BED" w14:paraId="45142AF6" w14:textId="77777777" w:rsidTr="00E24B88">
        <w:tc>
          <w:tcPr>
            <w:tcW w:w="7333" w:type="dxa"/>
            <w:tcBorders>
              <w:top w:val="single" w:sz="4" w:space="0" w:color="auto"/>
              <w:left w:val="single" w:sz="4" w:space="0" w:color="auto"/>
              <w:bottom w:val="single" w:sz="4" w:space="0" w:color="auto"/>
              <w:right w:val="single" w:sz="4" w:space="0" w:color="auto"/>
            </w:tcBorders>
            <w:shd w:val="clear" w:color="auto" w:fill="auto"/>
          </w:tcPr>
          <w:p w14:paraId="0D4E0810" w14:textId="515D3AD5" w:rsidR="00483D43" w:rsidRPr="003B3541" w:rsidRDefault="00483D43" w:rsidP="00E24B88">
            <w:pPr>
              <w:pStyle w:val="TableText"/>
              <w:rPr>
                <w:b/>
                <w:bCs/>
              </w:rPr>
            </w:pPr>
            <w:r>
              <w:rPr>
                <w:b/>
                <w:bCs/>
              </w:rPr>
              <w:t>(</w:t>
            </w:r>
            <w:r w:rsidRPr="003B3541">
              <w:rPr>
                <w:b/>
                <w:bCs/>
              </w:rPr>
              <w:t>This is required for energy storage assets only, not for thermal units.</w:t>
            </w:r>
            <w:r>
              <w:rPr>
                <w:b/>
                <w:bCs/>
              </w:rPr>
              <w:t>)</w:t>
            </w:r>
          </w:p>
          <w:p w14:paraId="6B974D92" w14:textId="3D539448" w:rsidR="00E24B88" w:rsidRPr="00315BED" w:rsidRDefault="00E24B88" w:rsidP="00E24B88">
            <w:pPr>
              <w:pStyle w:val="TableText"/>
            </w:pPr>
            <w:r w:rsidRPr="00315BED">
              <w:t xml:space="preserve">The </w:t>
            </w:r>
            <w:r w:rsidR="003826A3">
              <w:t xml:space="preserve">proposed </w:t>
            </w:r>
            <w:r>
              <w:t>reserved energy</w:t>
            </w:r>
            <w:r w:rsidRPr="00315BED">
              <w:t xml:space="preserve"> of the SRAS Equipment to export electricity to the Delivery Point</w:t>
            </w:r>
            <w:r w:rsidR="003D1406">
              <w:t xml:space="preserve"> during restart</w:t>
            </w:r>
            <w:r w:rsidRPr="00315BED">
              <w:t xml:space="preserve"> </w:t>
            </w:r>
            <w:r>
              <w:t>in MWh</w:t>
            </w:r>
            <w:r w:rsidR="003D1406">
              <w:t xml:space="preserve"> </w:t>
            </w:r>
            <w:r w:rsidR="003D1406" w:rsidRPr="00315BED">
              <w:t>(</w:t>
            </w:r>
            <w:r w:rsidR="003D1406">
              <w:rPr>
                <w:b/>
              </w:rPr>
              <w:t>Reserved Energy</w:t>
            </w:r>
            <w:r w:rsidR="003D1406" w:rsidRPr="00315BED">
              <w:t>)</w:t>
            </w:r>
            <w:r>
              <w:t xml:space="preserve">. </w:t>
            </w:r>
          </w:p>
        </w:tc>
        <w:tc>
          <w:tcPr>
            <w:tcW w:w="1650" w:type="dxa"/>
            <w:gridSpan w:val="2"/>
            <w:tcBorders>
              <w:top w:val="single" w:sz="4" w:space="0" w:color="auto"/>
              <w:left w:val="single" w:sz="4" w:space="0" w:color="auto"/>
              <w:bottom w:val="single" w:sz="4" w:space="0" w:color="auto"/>
              <w:right w:val="single" w:sz="4" w:space="0" w:color="auto"/>
            </w:tcBorders>
            <w:shd w:val="clear" w:color="auto" w:fill="auto"/>
          </w:tcPr>
          <w:p w14:paraId="2687DC1E" w14:textId="36BC4366" w:rsidR="00E24B88" w:rsidRPr="00315BED" w:rsidRDefault="00E24B88" w:rsidP="00E24B88">
            <w:pPr>
              <w:pStyle w:val="TableTextright"/>
            </w:pPr>
            <w:r w:rsidRPr="00315BED">
              <w:t>MW</w:t>
            </w:r>
            <w:r>
              <w:t>h</w:t>
            </w:r>
          </w:p>
        </w:tc>
      </w:tr>
      <w:tr w:rsidR="00E24B88" w:rsidRPr="00315BED" w14:paraId="6C2036A5" w14:textId="77777777" w:rsidTr="00E24B88">
        <w:tc>
          <w:tcPr>
            <w:tcW w:w="7333" w:type="dxa"/>
            <w:tcBorders>
              <w:top w:val="single" w:sz="4" w:space="0" w:color="auto"/>
              <w:left w:val="single" w:sz="4" w:space="0" w:color="auto"/>
              <w:bottom w:val="single" w:sz="4" w:space="0" w:color="auto"/>
              <w:right w:val="single" w:sz="4" w:space="0" w:color="auto"/>
            </w:tcBorders>
            <w:shd w:val="clear" w:color="auto" w:fill="auto"/>
          </w:tcPr>
          <w:p w14:paraId="70B7BB97" w14:textId="5976BE6A" w:rsidR="00E24B88" w:rsidRPr="00315BED" w:rsidRDefault="00E24B88" w:rsidP="00E24B88">
            <w:pPr>
              <w:pStyle w:val="TableText"/>
            </w:pPr>
            <w:r w:rsidRPr="00315BED">
              <w:t xml:space="preserve">Time to reach Electricity Export Capability </w:t>
            </w:r>
            <w:r>
              <w:t xml:space="preserve">once ready to commence sending out (i.e. ramping time) </w:t>
            </w:r>
          </w:p>
        </w:tc>
        <w:tc>
          <w:tcPr>
            <w:tcW w:w="1650" w:type="dxa"/>
            <w:gridSpan w:val="2"/>
            <w:tcBorders>
              <w:top w:val="single" w:sz="4" w:space="0" w:color="auto"/>
              <w:left w:val="single" w:sz="4" w:space="0" w:color="auto"/>
              <w:bottom w:val="single" w:sz="4" w:space="0" w:color="auto"/>
              <w:right w:val="single" w:sz="4" w:space="0" w:color="auto"/>
            </w:tcBorders>
            <w:shd w:val="clear" w:color="auto" w:fill="auto"/>
          </w:tcPr>
          <w:p w14:paraId="53A49620" w14:textId="0B38AFFA" w:rsidR="00E24B88" w:rsidRPr="00315BED" w:rsidRDefault="00E24B88" w:rsidP="00E24B88">
            <w:pPr>
              <w:pStyle w:val="TableTextright"/>
            </w:pPr>
            <w:r>
              <w:t>minutes</w:t>
            </w:r>
          </w:p>
        </w:tc>
      </w:tr>
      <w:tr w:rsidR="00E24B88" w:rsidRPr="00315BED" w14:paraId="3A9C0525" w14:textId="77777777" w:rsidTr="00E24B88">
        <w:tc>
          <w:tcPr>
            <w:tcW w:w="7333" w:type="dxa"/>
            <w:tcBorders>
              <w:top w:val="single" w:sz="4" w:space="0" w:color="auto"/>
              <w:left w:val="single" w:sz="4" w:space="0" w:color="auto"/>
              <w:bottom w:val="single" w:sz="4" w:space="0" w:color="auto"/>
              <w:right w:val="single" w:sz="4" w:space="0" w:color="auto"/>
            </w:tcBorders>
            <w:shd w:val="clear" w:color="auto" w:fill="auto"/>
          </w:tcPr>
          <w:p w14:paraId="249A5619" w14:textId="7666AC72" w:rsidR="00E24B88" w:rsidRPr="00315BED" w:rsidRDefault="00E24B88" w:rsidP="00E24B88">
            <w:pPr>
              <w:pStyle w:val="TableText"/>
            </w:pPr>
            <w:r>
              <w:t>Maximum s</w:t>
            </w:r>
            <w:r w:rsidRPr="003A2932">
              <w:t>ize of load</w:t>
            </w:r>
            <w:r>
              <w:t xml:space="preserve"> block</w:t>
            </w:r>
            <w:r w:rsidRPr="003A2932">
              <w:t xml:space="preserve"> that can be supported by the SRAS Equipment if connected at the Delivery Point, while maintaining frequency and voltage within limits (</w:t>
            </w:r>
            <w:r w:rsidRPr="003A2932">
              <w:rPr>
                <w:b/>
              </w:rPr>
              <w:t>Contracted Load Block</w:t>
            </w:r>
            <w:r w:rsidRPr="003A2932">
              <w:t>)</w:t>
            </w:r>
          </w:p>
        </w:tc>
        <w:tc>
          <w:tcPr>
            <w:tcW w:w="1650" w:type="dxa"/>
            <w:gridSpan w:val="2"/>
            <w:tcBorders>
              <w:top w:val="single" w:sz="4" w:space="0" w:color="auto"/>
              <w:left w:val="single" w:sz="4" w:space="0" w:color="auto"/>
              <w:bottom w:val="single" w:sz="4" w:space="0" w:color="auto"/>
              <w:right w:val="single" w:sz="4" w:space="0" w:color="auto"/>
            </w:tcBorders>
            <w:shd w:val="clear" w:color="auto" w:fill="auto"/>
          </w:tcPr>
          <w:p w14:paraId="4FE5B6A0" w14:textId="77777777" w:rsidR="00E24B88" w:rsidRPr="00315BED" w:rsidRDefault="00E24B88" w:rsidP="00E24B88">
            <w:pPr>
              <w:pStyle w:val="TableTextright"/>
            </w:pPr>
            <w:r w:rsidRPr="00315BED">
              <w:t>MW</w:t>
            </w:r>
          </w:p>
        </w:tc>
      </w:tr>
      <w:tr w:rsidR="00E24B88" w:rsidRPr="00315BED" w14:paraId="6A0127E1" w14:textId="77777777" w:rsidTr="00E24B88">
        <w:trPr>
          <w:gridAfter w:val="1"/>
          <w:wAfter w:w="45" w:type="dxa"/>
        </w:trPr>
        <w:tc>
          <w:tcPr>
            <w:tcW w:w="7333" w:type="dxa"/>
            <w:tcBorders>
              <w:top w:val="single" w:sz="4" w:space="0" w:color="auto"/>
              <w:left w:val="single" w:sz="4" w:space="0" w:color="auto"/>
              <w:bottom w:val="single" w:sz="4" w:space="0" w:color="auto"/>
              <w:right w:val="single" w:sz="4" w:space="0" w:color="auto"/>
            </w:tcBorders>
            <w:shd w:val="clear" w:color="auto" w:fill="auto"/>
          </w:tcPr>
          <w:p w14:paraId="374B87A4" w14:textId="2F1D4D4B" w:rsidR="00E24B88" w:rsidRDefault="00E24B88" w:rsidP="00E24B88">
            <w:pPr>
              <w:pStyle w:val="TableText"/>
            </w:pPr>
            <w:r>
              <w:t xml:space="preserve">Minimum MW ramp rate at a different loading levels of 30%, 60% and 90% or equivalent. </w:t>
            </w:r>
          </w:p>
        </w:tc>
        <w:tc>
          <w:tcPr>
            <w:tcW w:w="1605" w:type="dxa"/>
            <w:tcBorders>
              <w:top w:val="single" w:sz="4" w:space="0" w:color="auto"/>
              <w:left w:val="single" w:sz="4" w:space="0" w:color="auto"/>
              <w:bottom w:val="single" w:sz="4" w:space="0" w:color="auto"/>
              <w:right w:val="single" w:sz="4" w:space="0" w:color="auto"/>
            </w:tcBorders>
            <w:shd w:val="clear" w:color="auto" w:fill="auto"/>
          </w:tcPr>
          <w:p w14:paraId="679F6C0D" w14:textId="2ACD61C2" w:rsidR="00E24B88" w:rsidRPr="00315BED" w:rsidRDefault="00E24B88" w:rsidP="00E24B88">
            <w:pPr>
              <w:pStyle w:val="TableTextright"/>
            </w:pPr>
            <w:r>
              <w:t>MW/s</w:t>
            </w:r>
          </w:p>
        </w:tc>
      </w:tr>
      <w:tr w:rsidR="00E24B88" w:rsidRPr="00315BED" w14:paraId="084E42C7" w14:textId="77777777" w:rsidTr="00E24B88">
        <w:trPr>
          <w:gridAfter w:val="1"/>
          <w:wAfter w:w="45" w:type="dxa"/>
        </w:trPr>
        <w:tc>
          <w:tcPr>
            <w:tcW w:w="7333" w:type="dxa"/>
            <w:tcBorders>
              <w:top w:val="single" w:sz="4" w:space="0" w:color="auto"/>
              <w:left w:val="single" w:sz="4" w:space="0" w:color="auto"/>
              <w:bottom w:val="single" w:sz="4" w:space="0" w:color="auto"/>
              <w:right w:val="single" w:sz="4" w:space="0" w:color="auto"/>
            </w:tcBorders>
            <w:shd w:val="clear" w:color="auto" w:fill="auto"/>
          </w:tcPr>
          <w:p w14:paraId="673CC844" w14:textId="1BCD6361" w:rsidR="00E24B88" w:rsidRDefault="00E24B88" w:rsidP="00E24B88">
            <w:pPr>
              <w:pStyle w:val="TableText"/>
            </w:pPr>
            <w:r>
              <w:lastRenderedPageBreak/>
              <w:t xml:space="preserve">Minimum loading of the machine in which the SRAS Equipment can continuously operate </w:t>
            </w:r>
          </w:p>
        </w:tc>
        <w:tc>
          <w:tcPr>
            <w:tcW w:w="1605" w:type="dxa"/>
            <w:tcBorders>
              <w:top w:val="single" w:sz="4" w:space="0" w:color="auto"/>
              <w:left w:val="single" w:sz="4" w:space="0" w:color="auto"/>
              <w:bottom w:val="single" w:sz="4" w:space="0" w:color="auto"/>
              <w:right w:val="single" w:sz="4" w:space="0" w:color="auto"/>
            </w:tcBorders>
            <w:shd w:val="clear" w:color="auto" w:fill="auto"/>
          </w:tcPr>
          <w:p w14:paraId="21DBCCD8" w14:textId="65610625" w:rsidR="00E24B88" w:rsidRDefault="00E24B88" w:rsidP="00E24B88">
            <w:pPr>
              <w:pStyle w:val="TableTextright"/>
            </w:pPr>
            <w:r>
              <w:t>MW</w:t>
            </w:r>
          </w:p>
        </w:tc>
      </w:tr>
      <w:tr w:rsidR="00E24B88" w:rsidRPr="00315BED" w14:paraId="58B4F4E0" w14:textId="77777777" w:rsidTr="00E24B88">
        <w:trPr>
          <w:gridAfter w:val="1"/>
          <w:wAfter w:w="45" w:type="dxa"/>
        </w:trPr>
        <w:tc>
          <w:tcPr>
            <w:tcW w:w="7333" w:type="dxa"/>
            <w:tcBorders>
              <w:top w:val="single" w:sz="4" w:space="0" w:color="auto"/>
              <w:left w:val="single" w:sz="4" w:space="0" w:color="auto"/>
              <w:bottom w:val="single" w:sz="4" w:space="0" w:color="auto"/>
              <w:right w:val="single" w:sz="4" w:space="0" w:color="auto"/>
            </w:tcBorders>
            <w:shd w:val="clear" w:color="auto" w:fill="auto"/>
          </w:tcPr>
          <w:p w14:paraId="3537A587" w14:textId="166CAE84" w:rsidR="00E24B88" w:rsidRDefault="00E24B88" w:rsidP="00E24B88">
            <w:pPr>
              <w:pStyle w:val="TableText"/>
            </w:pPr>
            <w:r>
              <w:t xml:space="preserve">The maximum time the SRAS Equipment can operate below the minimum loading, for example when restarting from a system black event. </w:t>
            </w:r>
          </w:p>
        </w:tc>
        <w:tc>
          <w:tcPr>
            <w:tcW w:w="1605" w:type="dxa"/>
            <w:tcBorders>
              <w:top w:val="single" w:sz="4" w:space="0" w:color="auto"/>
              <w:left w:val="single" w:sz="4" w:space="0" w:color="auto"/>
              <w:bottom w:val="single" w:sz="4" w:space="0" w:color="auto"/>
              <w:right w:val="single" w:sz="4" w:space="0" w:color="auto"/>
            </w:tcBorders>
            <w:shd w:val="clear" w:color="auto" w:fill="auto"/>
          </w:tcPr>
          <w:p w14:paraId="32D60CC7" w14:textId="40850040" w:rsidR="00E24B88" w:rsidRDefault="00E24B88" w:rsidP="00E24B88">
            <w:pPr>
              <w:pStyle w:val="TableTextright"/>
            </w:pPr>
            <w:r>
              <w:t>minutes</w:t>
            </w:r>
          </w:p>
        </w:tc>
      </w:tr>
      <w:tr w:rsidR="00E24B88" w:rsidRPr="00315BED" w14:paraId="6949D6F0" w14:textId="77777777" w:rsidTr="00E24B88">
        <w:trPr>
          <w:gridAfter w:val="1"/>
          <w:wAfter w:w="45" w:type="dxa"/>
        </w:trPr>
        <w:tc>
          <w:tcPr>
            <w:tcW w:w="7333" w:type="dxa"/>
            <w:tcBorders>
              <w:top w:val="single" w:sz="4" w:space="0" w:color="auto"/>
              <w:left w:val="single" w:sz="4" w:space="0" w:color="auto"/>
              <w:bottom w:val="single" w:sz="4" w:space="0" w:color="auto"/>
              <w:right w:val="single" w:sz="4" w:space="0" w:color="auto"/>
            </w:tcBorders>
            <w:shd w:val="clear" w:color="auto" w:fill="auto"/>
          </w:tcPr>
          <w:p w14:paraId="03FF9F74" w14:textId="4822353E" w:rsidR="00E24B88" w:rsidRDefault="00E24B88" w:rsidP="00E24B88">
            <w:pPr>
              <w:pStyle w:val="TableText"/>
            </w:pPr>
            <w:r>
              <w:t>Can the SRAS Equipment soft energisation the transformer at PoC.</w:t>
            </w:r>
          </w:p>
        </w:tc>
        <w:tc>
          <w:tcPr>
            <w:tcW w:w="1605" w:type="dxa"/>
            <w:tcBorders>
              <w:top w:val="single" w:sz="4" w:space="0" w:color="auto"/>
              <w:left w:val="single" w:sz="4" w:space="0" w:color="auto"/>
              <w:bottom w:val="single" w:sz="4" w:space="0" w:color="auto"/>
              <w:right w:val="single" w:sz="4" w:space="0" w:color="auto"/>
            </w:tcBorders>
            <w:shd w:val="clear" w:color="auto" w:fill="auto"/>
          </w:tcPr>
          <w:p w14:paraId="0094D8B2" w14:textId="48700BAD" w:rsidR="00E24B88" w:rsidRDefault="00E24B88" w:rsidP="00E24B88">
            <w:pPr>
              <w:pStyle w:val="TableTextright"/>
            </w:pPr>
            <w:r>
              <w:t>Yes/No</w:t>
            </w:r>
          </w:p>
        </w:tc>
      </w:tr>
      <w:tr w:rsidR="00E24B88" w:rsidRPr="00315BED" w14:paraId="512A0245" w14:textId="77777777" w:rsidTr="00BD7077">
        <w:tc>
          <w:tcPr>
            <w:tcW w:w="898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47FFB7" w14:textId="77777777" w:rsidR="00E24B88" w:rsidRDefault="00E24B88" w:rsidP="00E24B88">
            <w:pPr>
              <w:pStyle w:val="TableTextright"/>
              <w:jc w:val="left"/>
            </w:pPr>
            <w:r w:rsidRPr="004C7C9A">
              <w:rPr>
                <w:b/>
              </w:rPr>
              <w:t>For TTHL SRAS</w:t>
            </w:r>
            <w:r>
              <w:rPr>
                <w:b/>
              </w:rPr>
              <w:t xml:space="preserve"> (in addition)</w:t>
            </w:r>
          </w:p>
        </w:tc>
      </w:tr>
      <w:tr w:rsidR="00E24B88" w:rsidRPr="00315BED" w14:paraId="100546A6" w14:textId="77777777" w:rsidTr="00E24B88">
        <w:tc>
          <w:tcPr>
            <w:tcW w:w="7333" w:type="dxa"/>
            <w:tcBorders>
              <w:top w:val="single" w:sz="4" w:space="0" w:color="auto"/>
              <w:left w:val="single" w:sz="4" w:space="0" w:color="auto"/>
              <w:bottom w:val="single" w:sz="4" w:space="0" w:color="auto"/>
              <w:right w:val="single" w:sz="4" w:space="0" w:color="auto"/>
            </w:tcBorders>
            <w:shd w:val="clear" w:color="auto" w:fill="auto"/>
          </w:tcPr>
          <w:p w14:paraId="3D2EB9FC" w14:textId="7A06D396" w:rsidR="00E24B88" w:rsidRDefault="00E24B88" w:rsidP="00E24B88">
            <w:pPr>
              <w:pStyle w:val="TableText"/>
            </w:pPr>
            <w:r>
              <w:t xml:space="preserve">Time SRAS Equipment can remain at house load following TTHL (i.e. without external </w:t>
            </w:r>
            <w:r>
              <w:rPr>
                <w:i/>
                <w:iCs/>
              </w:rPr>
              <w:t>load</w:t>
            </w:r>
            <w:r>
              <w:t>)</w:t>
            </w:r>
          </w:p>
        </w:tc>
        <w:tc>
          <w:tcPr>
            <w:tcW w:w="1650" w:type="dxa"/>
            <w:gridSpan w:val="2"/>
            <w:tcBorders>
              <w:top w:val="single" w:sz="4" w:space="0" w:color="auto"/>
              <w:left w:val="single" w:sz="4" w:space="0" w:color="auto"/>
              <w:bottom w:val="single" w:sz="4" w:space="0" w:color="auto"/>
              <w:right w:val="single" w:sz="4" w:space="0" w:color="auto"/>
            </w:tcBorders>
            <w:shd w:val="clear" w:color="auto" w:fill="auto"/>
          </w:tcPr>
          <w:p w14:paraId="44A1D8C1" w14:textId="72F00E83" w:rsidR="00E24B88" w:rsidRDefault="00E24B88" w:rsidP="00E24B88">
            <w:pPr>
              <w:pStyle w:val="TableTextright"/>
            </w:pPr>
            <w:r>
              <w:t>[ ] minutes</w:t>
            </w:r>
          </w:p>
        </w:tc>
      </w:tr>
      <w:tr w:rsidR="00E24B88" w:rsidRPr="00315BED" w14:paraId="501564B0" w14:textId="77777777" w:rsidTr="00E24B88">
        <w:tc>
          <w:tcPr>
            <w:tcW w:w="7333" w:type="dxa"/>
            <w:tcBorders>
              <w:top w:val="single" w:sz="4" w:space="0" w:color="auto"/>
              <w:left w:val="single" w:sz="4" w:space="0" w:color="auto"/>
              <w:bottom w:val="single" w:sz="4" w:space="0" w:color="auto"/>
              <w:right w:val="single" w:sz="4" w:space="0" w:color="auto"/>
            </w:tcBorders>
            <w:shd w:val="clear" w:color="auto" w:fill="auto"/>
          </w:tcPr>
          <w:p w14:paraId="62E3EE84" w14:textId="77777777" w:rsidR="00E24B88" w:rsidRDefault="00E24B88" w:rsidP="00E24B88">
            <w:pPr>
              <w:pStyle w:val="TableText"/>
            </w:pPr>
            <w:r>
              <w:t>Threshold for trip condition to be activated by sustained excessive high frequency</w:t>
            </w:r>
          </w:p>
        </w:tc>
        <w:tc>
          <w:tcPr>
            <w:tcW w:w="1650" w:type="dxa"/>
            <w:gridSpan w:val="2"/>
            <w:tcBorders>
              <w:top w:val="single" w:sz="4" w:space="0" w:color="auto"/>
              <w:left w:val="single" w:sz="4" w:space="0" w:color="auto"/>
              <w:bottom w:val="single" w:sz="4" w:space="0" w:color="auto"/>
              <w:right w:val="single" w:sz="4" w:space="0" w:color="auto"/>
            </w:tcBorders>
            <w:shd w:val="clear" w:color="auto" w:fill="auto"/>
          </w:tcPr>
          <w:p w14:paraId="5D4235C3" w14:textId="77777777" w:rsidR="00E24B88" w:rsidRDefault="00E24B88" w:rsidP="00E24B88">
            <w:pPr>
              <w:pStyle w:val="TableTextright"/>
            </w:pPr>
            <w:r>
              <w:t>[ ] Hz for [ ] seconds</w:t>
            </w:r>
          </w:p>
        </w:tc>
      </w:tr>
      <w:tr w:rsidR="00E24B88" w:rsidRPr="00315BED" w14:paraId="1D0CEC07" w14:textId="77777777" w:rsidTr="00E24B88">
        <w:tc>
          <w:tcPr>
            <w:tcW w:w="7333" w:type="dxa"/>
            <w:tcBorders>
              <w:top w:val="single" w:sz="4" w:space="0" w:color="auto"/>
              <w:left w:val="single" w:sz="4" w:space="0" w:color="auto"/>
              <w:bottom w:val="single" w:sz="4" w:space="0" w:color="auto"/>
              <w:right w:val="single" w:sz="4" w:space="0" w:color="auto"/>
            </w:tcBorders>
            <w:shd w:val="clear" w:color="auto" w:fill="auto"/>
          </w:tcPr>
          <w:p w14:paraId="5FC48E86" w14:textId="77777777" w:rsidR="00E24B88" w:rsidRDefault="00E24B88" w:rsidP="00E24B88">
            <w:pPr>
              <w:pStyle w:val="TableText"/>
            </w:pPr>
            <w:r>
              <w:t>Threshold for trip condition to be activated by sustained excessive low frequency</w:t>
            </w:r>
          </w:p>
        </w:tc>
        <w:tc>
          <w:tcPr>
            <w:tcW w:w="1650" w:type="dxa"/>
            <w:gridSpan w:val="2"/>
            <w:tcBorders>
              <w:top w:val="single" w:sz="4" w:space="0" w:color="auto"/>
              <w:left w:val="single" w:sz="4" w:space="0" w:color="auto"/>
              <w:bottom w:val="single" w:sz="4" w:space="0" w:color="auto"/>
              <w:right w:val="single" w:sz="4" w:space="0" w:color="auto"/>
            </w:tcBorders>
            <w:shd w:val="clear" w:color="auto" w:fill="auto"/>
          </w:tcPr>
          <w:p w14:paraId="129C9BAD" w14:textId="77777777" w:rsidR="00E24B88" w:rsidRDefault="00E24B88" w:rsidP="00E24B88">
            <w:pPr>
              <w:pStyle w:val="TableTextright"/>
            </w:pPr>
            <w:r>
              <w:t>[ ] Hz for [ ] seconds</w:t>
            </w:r>
          </w:p>
        </w:tc>
      </w:tr>
      <w:tr w:rsidR="00E24B88" w:rsidRPr="00315BED" w14:paraId="16B1F74D" w14:textId="77777777" w:rsidTr="00E24B88">
        <w:tc>
          <w:tcPr>
            <w:tcW w:w="7333" w:type="dxa"/>
            <w:tcBorders>
              <w:top w:val="single" w:sz="4" w:space="0" w:color="auto"/>
              <w:left w:val="single" w:sz="4" w:space="0" w:color="auto"/>
              <w:bottom w:val="single" w:sz="4" w:space="0" w:color="auto"/>
              <w:right w:val="single" w:sz="4" w:space="0" w:color="auto"/>
            </w:tcBorders>
            <w:shd w:val="clear" w:color="auto" w:fill="auto"/>
          </w:tcPr>
          <w:p w14:paraId="13C79A84" w14:textId="374B585F" w:rsidR="00E24B88" w:rsidRDefault="00E24B88" w:rsidP="00E24B88">
            <w:pPr>
              <w:pStyle w:val="TableText"/>
            </w:pPr>
            <w:r>
              <w:t xml:space="preserve">Conditions and settings for loss of </w:t>
            </w:r>
            <w:r w:rsidRPr="00531C0F">
              <w:rPr>
                <w:i/>
                <w:iCs/>
              </w:rPr>
              <w:t>synchronism</w:t>
            </w:r>
            <w:r>
              <w:t xml:space="preserve"> protection</w:t>
            </w:r>
          </w:p>
        </w:tc>
        <w:tc>
          <w:tcPr>
            <w:tcW w:w="1650" w:type="dxa"/>
            <w:gridSpan w:val="2"/>
            <w:tcBorders>
              <w:top w:val="single" w:sz="4" w:space="0" w:color="auto"/>
              <w:left w:val="single" w:sz="4" w:space="0" w:color="auto"/>
              <w:bottom w:val="single" w:sz="4" w:space="0" w:color="auto"/>
              <w:right w:val="single" w:sz="4" w:space="0" w:color="auto"/>
            </w:tcBorders>
            <w:shd w:val="clear" w:color="auto" w:fill="auto"/>
          </w:tcPr>
          <w:p w14:paraId="6B7F88DA" w14:textId="387596BE" w:rsidR="00E24B88" w:rsidRDefault="00E24B88" w:rsidP="00E24B88">
            <w:pPr>
              <w:pStyle w:val="TableTextright"/>
            </w:pPr>
            <w:r>
              <w:t>[Specify all applicable conditions and settings]</w:t>
            </w:r>
          </w:p>
        </w:tc>
      </w:tr>
      <w:tr w:rsidR="00E24B88" w:rsidRPr="00315BED" w14:paraId="5717D08E" w14:textId="77777777" w:rsidTr="00E24B88">
        <w:tc>
          <w:tcPr>
            <w:tcW w:w="7333" w:type="dxa"/>
            <w:tcBorders>
              <w:top w:val="single" w:sz="4" w:space="0" w:color="auto"/>
              <w:left w:val="single" w:sz="4" w:space="0" w:color="auto"/>
              <w:bottom w:val="single" w:sz="4" w:space="0" w:color="auto"/>
              <w:right w:val="single" w:sz="4" w:space="0" w:color="auto"/>
            </w:tcBorders>
            <w:shd w:val="clear" w:color="auto" w:fill="auto"/>
          </w:tcPr>
          <w:p w14:paraId="44691239" w14:textId="50B04E53" w:rsidR="00E24B88" w:rsidRDefault="00E24B88" w:rsidP="00E24B88">
            <w:pPr>
              <w:pStyle w:val="TableText"/>
            </w:pPr>
            <w:r>
              <w:t>Threshold trip condition to be activated by rate of change of frequency</w:t>
            </w:r>
          </w:p>
        </w:tc>
        <w:tc>
          <w:tcPr>
            <w:tcW w:w="1650" w:type="dxa"/>
            <w:gridSpan w:val="2"/>
            <w:tcBorders>
              <w:top w:val="single" w:sz="4" w:space="0" w:color="auto"/>
              <w:left w:val="single" w:sz="4" w:space="0" w:color="auto"/>
              <w:bottom w:val="single" w:sz="4" w:space="0" w:color="auto"/>
              <w:right w:val="single" w:sz="4" w:space="0" w:color="auto"/>
            </w:tcBorders>
            <w:shd w:val="clear" w:color="auto" w:fill="auto"/>
          </w:tcPr>
          <w:p w14:paraId="0DECF8F7" w14:textId="319E7BE0" w:rsidR="00E24B88" w:rsidRDefault="00E24B88" w:rsidP="00E24B88">
            <w:pPr>
              <w:pStyle w:val="TableTextright"/>
            </w:pPr>
            <w:r>
              <w:rPr>
                <w:rStyle w:val="normaltextrun"/>
                <w:color w:val="000000"/>
                <w:szCs w:val="20"/>
              </w:rPr>
              <w:t>[ ] Hz/sec</w:t>
            </w:r>
          </w:p>
        </w:tc>
      </w:tr>
      <w:tr w:rsidR="00E24B88" w:rsidRPr="00315BED" w14:paraId="50EF5D87" w14:textId="77777777" w:rsidTr="00E24B88">
        <w:tc>
          <w:tcPr>
            <w:tcW w:w="7333" w:type="dxa"/>
            <w:tcBorders>
              <w:top w:val="single" w:sz="4" w:space="0" w:color="auto"/>
              <w:left w:val="single" w:sz="4" w:space="0" w:color="auto"/>
              <w:bottom w:val="single" w:sz="4" w:space="0" w:color="auto"/>
              <w:right w:val="single" w:sz="4" w:space="0" w:color="auto"/>
            </w:tcBorders>
            <w:shd w:val="clear" w:color="auto" w:fill="auto"/>
          </w:tcPr>
          <w:p w14:paraId="4F341429" w14:textId="78579B7B" w:rsidR="00E24B88" w:rsidRDefault="00E24B88" w:rsidP="00E24B88">
            <w:pPr>
              <w:pStyle w:val="TableText"/>
            </w:pPr>
            <w:r>
              <w:t>Threshold for trip condition to be activated by sustained excessive low voltage excursions at PoC.</w:t>
            </w:r>
          </w:p>
        </w:tc>
        <w:tc>
          <w:tcPr>
            <w:tcW w:w="1650" w:type="dxa"/>
            <w:gridSpan w:val="2"/>
            <w:tcBorders>
              <w:top w:val="single" w:sz="4" w:space="0" w:color="auto"/>
              <w:left w:val="single" w:sz="4" w:space="0" w:color="auto"/>
              <w:bottom w:val="single" w:sz="4" w:space="0" w:color="auto"/>
              <w:right w:val="single" w:sz="4" w:space="0" w:color="auto"/>
            </w:tcBorders>
            <w:shd w:val="clear" w:color="auto" w:fill="auto"/>
          </w:tcPr>
          <w:p w14:paraId="1BF63F84" w14:textId="77777777" w:rsidR="00E24B88" w:rsidRDefault="00E24B88" w:rsidP="00E24B88">
            <w:pPr>
              <w:pStyle w:val="TableTextright"/>
            </w:pPr>
            <w:r>
              <w:t>[ ]kV for [ ]seconds</w:t>
            </w:r>
          </w:p>
        </w:tc>
      </w:tr>
      <w:tr w:rsidR="00E24B88" w:rsidRPr="00315BED" w14:paraId="41B64151" w14:textId="77777777" w:rsidTr="00E24B88">
        <w:tc>
          <w:tcPr>
            <w:tcW w:w="7333" w:type="dxa"/>
            <w:tcBorders>
              <w:top w:val="single" w:sz="4" w:space="0" w:color="auto"/>
              <w:left w:val="single" w:sz="4" w:space="0" w:color="auto"/>
              <w:bottom w:val="single" w:sz="4" w:space="0" w:color="auto"/>
              <w:right w:val="single" w:sz="4" w:space="0" w:color="auto"/>
            </w:tcBorders>
            <w:shd w:val="clear" w:color="auto" w:fill="auto"/>
          </w:tcPr>
          <w:p w14:paraId="09E3F530" w14:textId="06A43974" w:rsidR="00E24B88" w:rsidRDefault="00E24B88" w:rsidP="00E24B88">
            <w:pPr>
              <w:pStyle w:val="TableText"/>
            </w:pPr>
            <w:r>
              <w:t>Threshold for trip condition to be activated by sustained excessive high voltage excursions at PoC</w:t>
            </w:r>
          </w:p>
        </w:tc>
        <w:tc>
          <w:tcPr>
            <w:tcW w:w="1650" w:type="dxa"/>
            <w:gridSpan w:val="2"/>
            <w:tcBorders>
              <w:top w:val="single" w:sz="4" w:space="0" w:color="auto"/>
              <w:left w:val="single" w:sz="4" w:space="0" w:color="auto"/>
              <w:bottom w:val="single" w:sz="4" w:space="0" w:color="auto"/>
              <w:right w:val="single" w:sz="4" w:space="0" w:color="auto"/>
            </w:tcBorders>
            <w:shd w:val="clear" w:color="auto" w:fill="auto"/>
          </w:tcPr>
          <w:p w14:paraId="0941F08F" w14:textId="77777777" w:rsidR="00E24B88" w:rsidRDefault="00E24B88" w:rsidP="00E24B88">
            <w:pPr>
              <w:pStyle w:val="TableTextright"/>
            </w:pPr>
            <w:r>
              <w:t>[ ]kV for [ ]seconds</w:t>
            </w:r>
          </w:p>
        </w:tc>
      </w:tr>
    </w:tbl>
    <w:p w14:paraId="7B01F11B" w14:textId="77777777" w:rsidR="00414252" w:rsidRDefault="00414252" w:rsidP="0090782D">
      <w:pPr>
        <w:pStyle w:val="Heading2"/>
        <w:numPr>
          <w:ilvl w:val="0"/>
          <w:numId w:val="0"/>
        </w:numPr>
        <w:spacing w:before="120" w:after="120" w:line="300" w:lineRule="exact"/>
        <w:ind w:left="567"/>
        <w:rPr>
          <w:rFonts w:ascii="Arial Narrow" w:hAnsi="Arial Narrow"/>
        </w:rPr>
      </w:pPr>
      <w:bookmarkStart w:id="27" w:name="_Toc137014568"/>
      <w:bookmarkStart w:id="28" w:name="_Toc137442219"/>
    </w:p>
    <w:p w14:paraId="47A8B399" w14:textId="407221DC" w:rsidR="00345AEC" w:rsidRPr="004956B9" w:rsidRDefault="00345AEC" w:rsidP="0072709B">
      <w:pPr>
        <w:pStyle w:val="Heading2"/>
        <w:numPr>
          <w:ilvl w:val="6"/>
          <w:numId w:val="5"/>
        </w:numPr>
        <w:tabs>
          <w:tab w:val="clear" w:pos="3240"/>
          <w:tab w:val="num" w:pos="567"/>
        </w:tabs>
        <w:spacing w:before="120" w:after="120" w:line="300" w:lineRule="exact"/>
        <w:ind w:left="567" w:hanging="567"/>
        <w:rPr>
          <w:rFonts w:ascii="Arial Narrow" w:hAnsi="Arial Narrow"/>
        </w:rPr>
      </w:pPr>
      <w:r w:rsidRPr="004956B9">
        <w:rPr>
          <w:rFonts w:ascii="Arial Narrow" w:hAnsi="Arial Narrow"/>
        </w:rPr>
        <w:t>Minimum Availability</w:t>
      </w:r>
      <w:r w:rsidR="0072104A">
        <w:rPr>
          <w:rFonts w:ascii="Arial Narrow" w:hAnsi="Arial Narrow"/>
        </w:rPr>
        <w:t xml:space="preserve"> and Individual Reliability </w:t>
      </w:r>
    </w:p>
    <w:p w14:paraId="2DFED085" w14:textId="77777777" w:rsidR="00345AEC" w:rsidRDefault="00345AEC" w:rsidP="0072709B">
      <w:pPr>
        <w:pStyle w:val="ResetPara"/>
      </w:pPr>
    </w:p>
    <w:p w14:paraId="2392534A" w14:textId="5773EF5E" w:rsidR="009D2373" w:rsidRPr="007F70DD" w:rsidRDefault="009D2373" w:rsidP="0072709B">
      <w:pPr>
        <w:pStyle w:val="TxtNum1"/>
        <w:tabs>
          <w:tab w:val="clear" w:pos="1276"/>
          <w:tab w:val="num" w:pos="567"/>
        </w:tabs>
        <w:ind w:left="567"/>
        <w:rPr>
          <w:rFonts w:ascii="Arial Narrow" w:hAnsi="Arial Narrow"/>
        </w:rPr>
      </w:pPr>
      <w:r w:rsidRPr="007F70DD">
        <w:rPr>
          <w:rStyle w:val="BodyTextChar"/>
        </w:rPr>
        <w:t xml:space="preserve">Availability and reliability </w:t>
      </w:r>
      <w:r w:rsidR="003E7E19">
        <w:rPr>
          <w:rStyle w:val="BodyTextChar"/>
        </w:rPr>
        <w:t xml:space="preserve">parameters </w:t>
      </w:r>
      <w:r w:rsidRPr="007F70DD">
        <w:rPr>
          <w:rStyle w:val="BodyTextChar"/>
        </w:rPr>
        <w:t xml:space="preserve">are to be </w:t>
      </w:r>
      <w:r w:rsidR="003E7E19">
        <w:rPr>
          <w:rStyle w:val="BodyTextChar"/>
        </w:rPr>
        <w:t>specified</w:t>
      </w:r>
      <w:r w:rsidRPr="007F70DD">
        <w:rPr>
          <w:rStyle w:val="BodyTextChar"/>
        </w:rPr>
        <w:t xml:space="preserve"> in terms of each SRAS source configuration that can provide the Levels of Performance. </w:t>
      </w:r>
      <w:r w:rsidR="00B16E94" w:rsidRPr="007F70DD">
        <w:rPr>
          <w:rStyle w:val="BodyTextChar"/>
        </w:rPr>
        <w:t xml:space="preserve">As a minimum, the configuration that includes all SRAS Equipment must be defined. </w:t>
      </w:r>
      <w:r w:rsidRPr="007F70DD">
        <w:rPr>
          <w:rStyle w:val="BodyTextChar"/>
        </w:rPr>
        <w:t xml:space="preserve">An example is provided in </w:t>
      </w:r>
      <w:r w:rsidR="002744CA" w:rsidRPr="007F70DD">
        <w:rPr>
          <w:rStyle w:val="BodyTextChar"/>
        </w:rPr>
        <w:t>Appendix A</w:t>
      </w:r>
      <w:r w:rsidRPr="007F70DD">
        <w:rPr>
          <w:rStyle w:val="BodyTextChar"/>
        </w:rPr>
        <w:t>.</w:t>
      </w:r>
    </w:p>
    <w:p w14:paraId="3F91F09C" w14:textId="1EEC2BCB" w:rsidR="00345AEC" w:rsidRPr="007F70DD" w:rsidRDefault="00345AEC" w:rsidP="0072709B">
      <w:pPr>
        <w:pStyle w:val="TxtNum1"/>
        <w:tabs>
          <w:tab w:val="clear" w:pos="1276"/>
          <w:tab w:val="num" w:pos="567"/>
        </w:tabs>
        <w:ind w:left="567"/>
        <w:rPr>
          <w:rFonts w:ascii="Arial Narrow" w:hAnsi="Arial Narrow"/>
        </w:rPr>
      </w:pPr>
      <w:r w:rsidRPr="007F70DD">
        <w:rPr>
          <w:rFonts w:ascii="Arial Narrow" w:hAnsi="Arial Narrow"/>
        </w:rPr>
        <w:t>The</w:t>
      </w:r>
      <w:r w:rsidR="0072104A">
        <w:rPr>
          <w:rFonts w:ascii="Arial Narrow" w:hAnsi="Arial Narrow"/>
        </w:rPr>
        <w:t xml:space="preserve"> </w:t>
      </w:r>
      <w:r w:rsidR="000A5F24">
        <w:rPr>
          <w:rFonts w:ascii="Arial Narrow" w:hAnsi="Arial Narrow"/>
        </w:rPr>
        <w:t xml:space="preserve">table below sets out the </w:t>
      </w:r>
      <w:r w:rsidR="0072104A">
        <w:rPr>
          <w:rFonts w:ascii="Arial Narrow" w:hAnsi="Arial Narrow"/>
        </w:rPr>
        <w:t xml:space="preserve">Minimum </w:t>
      </w:r>
      <w:r w:rsidR="00A11A3E">
        <w:rPr>
          <w:rFonts w:ascii="Arial Narrow" w:hAnsi="Arial Narrow"/>
        </w:rPr>
        <w:t xml:space="preserve">Availability Requirement </w:t>
      </w:r>
      <w:r w:rsidR="000A5F24" w:rsidRPr="007F70DD">
        <w:rPr>
          <w:rFonts w:ascii="Arial Narrow" w:hAnsi="Arial Narrow"/>
        </w:rPr>
        <w:t>(</w:t>
      </w:r>
      <w:r w:rsidR="000A5F24">
        <w:rPr>
          <w:rFonts w:ascii="Arial Narrow" w:hAnsi="Arial Narrow"/>
        </w:rPr>
        <w:t xml:space="preserve">as defined in the proposed SRAS Agreement) and SRAS equipment component reliability levels </w:t>
      </w:r>
      <w:r w:rsidR="0072104A">
        <w:rPr>
          <w:rFonts w:ascii="Arial Narrow" w:hAnsi="Arial Narrow"/>
        </w:rPr>
        <w:t>offered for each configuration</w:t>
      </w:r>
      <w:r w:rsidR="000A5F24">
        <w:rPr>
          <w:rFonts w:ascii="Arial Narrow" w:hAnsi="Arial Narrow"/>
        </w:rPr>
        <w:t>.</w:t>
      </w:r>
    </w:p>
    <w:tbl>
      <w:tblPr>
        <w:tblW w:w="516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A0" w:firstRow="1" w:lastRow="0" w:firstColumn="1" w:lastColumn="1" w:noHBand="0" w:noVBand="0"/>
      </w:tblPr>
      <w:tblGrid>
        <w:gridCol w:w="4253"/>
        <w:gridCol w:w="1701"/>
        <w:gridCol w:w="1701"/>
        <w:gridCol w:w="1701"/>
      </w:tblGrid>
      <w:tr w:rsidR="00DD4CAB" w:rsidRPr="007D512F" w14:paraId="5B2AD8AF" w14:textId="77777777" w:rsidTr="00574D3E">
        <w:trPr>
          <w:cantSplit/>
          <w:trHeight w:val="283"/>
          <w:tblHeader/>
        </w:trPr>
        <w:tc>
          <w:tcPr>
            <w:tcW w:w="4253" w:type="dxa"/>
            <w:shd w:val="clear" w:color="auto" w:fill="BFBFBF" w:themeFill="background1" w:themeFillShade="BF"/>
          </w:tcPr>
          <w:p w14:paraId="5CC86963" w14:textId="77777777" w:rsidR="000A5F24" w:rsidRPr="007D512F" w:rsidRDefault="000A5F24" w:rsidP="00721821">
            <w:pPr>
              <w:pStyle w:val="Indent2"/>
              <w:numPr>
                <w:ilvl w:val="0"/>
                <w:numId w:val="0"/>
              </w:numPr>
              <w:spacing w:before="60" w:after="60"/>
              <w:rPr>
                <w:rFonts w:ascii="Arial Narrow" w:hAnsi="Arial Narrow" w:cs="Arial"/>
                <w:b/>
                <w:sz w:val="20"/>
              </w:rPr>
            </w:pPr>
            <w:r w:rsidRPr="007D512F">
              <w:rPr>
                <w:rFonts w:ascii="Arial Narrow" w:hAnsi="Arial Narrow" w:cs="Arial"/>
                <w:b/>
                <w:sz w:val="20"/>
              </w:rPr>
              <w:t>Parameter</w:t>
            </w:r>
          </w:p>
        </w:tc>
        <w:tc>
          <w:tcPr>
            <w:tcW w:w="1701" w:type="dxa"/>
            <w:shd w:val="clear" w:color="auto" w:fill="BFBFBF" w:themeFill="background1" w:themeFillShade="BF"/>
          </w:tcPr>
          <w:p w14:paraId="0F7FD734" w14:textId="6D94AE5D" w:rsidR="000A5F24" w:rsidRPr="007D512F" w:rsidRDefault="000A5F24" w:rsidP="00721821">
            <w:pPr>
              <w:pStyle w:val="Indent2"/>
              <w:tabs>
                <w:tab w:val="right" w:pos="2726"/>
              </w:tabs>
              <w:spacing w:before="60" w:after="60"/>
              <w:ind w:left="0"/>
              <w:rPr>
                <w:rFonts w:ascii="Arial Narrow" w:hAnsi="Arial Narrow" w:cs="Arial"/>
                <w:b/>
                <w:sz w:val="20"/>
              </w:rPr>
            </w:pPr>
            <w:r w:rsidRPr="007D512F">
              <w:rPr>
                <w:rFonts w:ascii="Arial Narrow" w:hAnsi="Arial Narrow" w:cs="Arial"/>
                <w:b/>
                <w:sz w:val="20"/>
              </w:rPr>
              <w:t>Configuration 1</w:t>
            </w:r>
          </w:p>
        </w:tc>
        <w:tc>
          <w:tcPr>
            <w:tcW w:w="1701" w:type="dxa"/>
            <w:shd w:val="clear" w:color="auto" w:fill="BFBFBF" w:themeFill="background1" w:themeFillShade="BF"/>
          </w:tcPr>
          <w:p w14:paraId="366FB05F" w14:textId="77777777" w:rsidR="000A5F24" w:rsidRPr="007D512F" w:rsidDel="00721821" w:rsidRDefault="000A5F24" w:rsidP="00B16E94">
            <w:pPr>
              <w:pStyle w:val="Indent2"/>
              <w:tabs>
                <w:tab w:val="right" w:pos="2726"/>
              </w:tabs>
              <w:spacing w:before="60" w:after="60"/>
              <w:ind w:left="0"/>
              <w:rPr>
                <w:rFonts w:ascii="Arial Narrow" w:hAnsi="Arial Narrow" w:cs="Arial"/>
                <w:b/>
                <w:sz w:val="20"/>
              </w:rPr>
            </w:pPr>
            <w:r w:rsidRPr="007D512F">
              <w:rPr>
                <w:rFonts w:ascii="Arial Narrow" w:hAnsi="Arial Narrow" w:cs="Arial"/>
                <w:b/>
                <w:sz w:val="20"/>
              </w:rPr>
              <w:t xml:space="preserve">Configuration 2 </w:t>
            </w:r>
          </w:p>
          <w:p w14:paraId="75CDF51D" w14:textId="77777777" w:rsidR="000A5F24" w:rsidRPr="00721821" w:rsidRDefault="000A5F24" w:rsidP="00721821">
            <w:pPr>
              <w:pStyle w:val="Indent2"/>
              <w:tabs>
                <w:tab w:val="right" w:pos="2726"/>
              </w:tabs>
              <w:spacing w:before="60" w:after="60"/>
              <w:ind w:left="0"/>
              <w:rPr>
                <w:rFonts w:ascii="Arial Narrow" w:hAnsi="Arial Narrow" w:cs="Arial"/>
                <w:b/>
                <w:sz w:val="20"/>
              </w:rPr>
            </w:pPr>
          </w:p>
        </w:tc>
        <w:tc>
          <w:tcPr>
            <w:tcW w:w="1701" w:type="dxa"/>
            <w:shd w:val="clear" w:color="auto" w:fill="BFBFBF" w:themeFill="background1" w:themeFillShade="BF"/>
          </w:tcPr>
          <w:p w14:paraId="79415A1C" w14:textId="77777777" w:rsidR="000A5F24" w:rsidRPr="007D512F" w:rsidRDefault="000A5F24" w:rsidP="00721821">
            <w:pPr>
              <w:pStyle w:val="Indent2"/>
              <w:tabs>
                <w:tab w:val="right" w:pos="2726"/>
              </w:tabs>
              <w:spacing w:before="60" w:after="60"/>
              <w:ind w:left="0"/>
              <w:rPr>
                <w:rFonts w:ascii="Arial Narrow" w:hAnsi="Arial Narrow" w:cs="Arial"/>
                <w:b/>
                <w:sz w:val="20"/>
              </w:rPr>
            </w:pPr>
            <w:r w:rsidRPr="007D512F">
              <w:rPr>
                <w:rFonts w:ascii="Arial Narrow" w:hAnsi="Arial Narrow" w:cs="Arial"/>
                <w:b/>
                <w:sz w:val="20"/>
              </w:rPr>
              <w:t>Configuration 3</w:t>
            </w:r>
          </w:p>
        </w:tc>
      </w:tr>
      <w:tr w:rsidR="000A5F24" w:rsidRPr="007D512F" w14:paraId="4557F3D8" w14:textId="77777777" w:rsidTr="00574D3E">
        <w:trPr>
          <w:cantSplit/>
        </w:trPr>
        <w:tc>
          <w:tcPr>
            <w:tcW w:w="4253" w:type="dxa"/>
            <w:shd w:val="clear" w:color="auto" w:fill="auto"/>
          </w:tcPr>
          <w:p w14:paraId="15C79CCD" w14:textId="77777777" w:rsidR="000A5F24" w:rsidRPr="007D512F" w:rsidRDefault="000A5F24" w:rsidP="004956B9">
            <w:pPr>
              <w:pStyle w:val="TableText"/>
              <w:rPr>
                <w:szCs w:val="20"/>
              </w:rPr>
            </w:pPr>
            <w:r w:rsidRPr="007D512F">
              <w:rPr>
                <w:szCs w:val="20"/>
              </w:rPr>
              <w:t>Description of Configuration</w:t>
            </w:r>
          </w:p>
        </w:tc>
        <w:tc>
          <w:tcPr>
            <w:tcW w:w="1701" w:type="dxa"/>
          </w:tcPr>
          <w:p w14:paraId="25D7152E" w14:textId="0F24A0A6" w:rsidR="000A5F24" w:rsidRPr="007D512F" w:rsidRDefault="000A5F24" w:rsidP="004956B9">
            <w:pPr>
              <w:pStyle w:val="Indent2"/>
              <w:numPr>
                <w:ilvl w:val="0"/>
                <w:numId w:val="0"/>
              </w:numPr>
              <w:tabs>
                <w:tab w:val="right" w:pos="2726"/>
              </w:tabs>
              <w:spacing w:before="60" w:after="60"/>
              <w:ind w:left="-396"/>
              <w:rPr>
                <w:sz w:val="20"/>
              </w:rPr>
            </w:pPr>
          </w:p>
        </w:tc>
        <w:tc>
          <w:tcPr>
            <w:tcW w:w="1701" w:type="dxa"/>
          </w:tcPr>
          <w:p w14:paraId="47543BBC" w14:textId="77777777" w:rsidR="000A5F24" w:rsidRPr="007D512F" w:rsidRDefault="000A5F24" w:rsidP="00A50EFB">
            <w:pPr>
              <w:pStyle w:val="Indent2"/>
              <w:numPr>
                <w:ilvl w:val="0"/>
                <w:numId w:val="0"/>
              </w:numPr>
              <w:tabs>
                <w:tab w:val="right" w:pos="2726"/>
              </w:tabs>
              <w:spacing w:before="60" w:after="60"/>
              <w:rPr>
                <w:rFonts w:ascii="Arial Narrow" w:hAnsi="Arial Narrow" w:cs="Arial"/>
                <w:sz w:val="20"/>
              </w:rPr>
            </w:pPr>
          </w:p>
        </w:tc>
        <w:tc>
          <w:tcPr>
            <w:tcW w:w="1701" w:type="dxa"/>
            <w:shd w:val="clear" w:color="auto" w:fill="auto"/>
          </w:tcPr>
          <w:p w14:paraId="058473B7" w14:textId="77777777" w:rsidR="000A5F24" w:rsidRPr="007D512F" w:rsidRDefault="000A5F24" w:rsidP="004956B9">
            <w:pPr>
              <w:pStyle w:val="Indent2"/>
              <w:numPr>
                <w:ilvl w:val="0"/>
                <w:numId w:val="0"/>
              </w:numPr>
              <w:tabs>
                <w:tab w:val="right" w:pos="2726"/>
              </w:tabs>
              <w:spacing w:before="60" w:after="60"/>
              <w:rPr>
                <w:rFonts w:ascii="Arial Narrow" w:hAnsi="Arial Narrow" w:cs="Arial"/>
                <w:sz w:val="20"/>
              </w:rPr>
            </w:pPr>
          </w:p>
        </w:tc>
      </w:tr>
      <w:tr w:rsidR="000A5F24" w:rsidRPr="007D512F" w14:paraId="7193A5CD" w14:textId="77777777" w:rsidTr="00574D3E">
        <w:trPr>
          <w:cantSplit/>
          <w:trHeight w:val="1372"/>
        </w:trPr>
        <w:tc>
          <w:tcPr>
            <w:tcW w:w="4253" w:type="dxa"/>
            <w:shd w:val="clear" w:color="auto" w:fill="auto"/>
          </w:tcPr>
          <w:p w14:paraId="5A32806E" w14:textId="27209381" w:rsidR="000A5F24" w:rsidRPr="007D512F" w:rsidRDefault="000A5F24" w:rsidP="00423C5E">
            <w:pPr>
              <w:pStyle w:val="TableText"/>
              <w:rPr>
                <w:szCs w:val="20"/>
              </w:rPr>
            </w:pPr>
            <w:r w:rsidRPr="007D512F">
              <w:rPr>
                <w:szCs w:val="20"/>
              </w:rPr>
              <w:t xml:space="preserve">Percentage of trading intervals during which the SRAS Equipment configuration will be </w:t>
            </w:r>
            <w:r>
              <w:rPr>
                <w:szCs w:val="20"/>
              </w:rPr>
              <w:t>A</w:t>
            </w:r>
            <w:r w:rsidRPr="007D512F">
              <w:rPr>
                <w:szCs w:val="20"/>
              </w:rPr>
              <w:t>vailable</w:t>
            </w:r>
            <w:r>
              <w:rPr>
                <w:szCs w:val="20"/>
              </w:rPr>
              <w:t xml:space="preserve"> </w:t>
            </w:r>
            <w:r w:rsidRPr="007D512F">
              <w:rPr>
                <w:szCs w:val="20"/>
              </w:rPr>
              <w:t>to deliver the Electricity Export Capability in any rolling 12-month period</w:t>
            </w:r>
            <w:r>
              <w:rPr>
                <w:szCs w:val="20"/>
              </w:rPr>
              <w:t xml:space="preserve"> (incorporating expected </w:t>
            </w:r>
            <w:r w:rsidR="00423C5E">
              <w:rPr>
                <w:szCs w:val="20"/>
              </w:rPr>
              <w:t xml:space="preserve">Network Delivery </w:t>
            </w:r>
            <w:r>
              <w:rPr>
                <w:szCs w:val="20"/>
              </w:rPr>
              <w:t>Component availability)</w:t>
            </w:r>
            <w:r w:rsidRPr="007D512F">
              <w:rPr>
                <w:szCs w:val="20"/>
              </w:rPr>
              <w:t xml:space="preserve">. </w:t>
            </w:r>
          </w:p>
        </w:tc>
        <w:tc>
          <w:tcPr>
            <w:tcW w:w="1701" w:type="dxa"/>
          </w:tcPr>
          <w:p w14:paraId="5E75E96E" w14:textId="5B8FF9CA" w:rsidR="000A5F24" w:rsidRPr="007D512F" w:rsidRDefault="000A5F24" w:rsidP="004956B9">
            <w:pPr>
              <w:pStyle w:val="Indent2"/>
              <w:numPr>
                <w:ilvl w:val="0"/>
                <w:numId w:val="0"/>
              </w:numPr>
              <w:tabs>
                <w:tab w:val="right" w:pos="2726"/>
              </w:tabs>
              <w:spacing w:before="60" w:after="60"/>
              <w:ind w:left="-396"/>
              <w:jc w:val="right"/>
              <w:rPr>
                <w:rFonts w:ascii="Arial Narrow" w:hAnsi="Arial Narrow" w:cs="Arial"/>
                <w:sz w:val="20"/>
              </w:rPr>
            </w:pPr>
          </w:p>
        </w:tc>
        <w:tc>
          <w:tcPr>
            <w:tcW w:w="1701" w:type="dxa"/>
          </w:tcPr>
          <w:p w14:paraId="6C890942" w14:textId="77777777" w:rsidR="000A5F24" w:rsidRPr="007D512F" w:rsidRDefault="000A5F24" w:rsidP="004956B9">
            <w:pPr>
              <w:pStyle w:val="Indent2"/>
              <w:numPr>
                <w:ilvl w:val="0"/>
                <w:numId w:val="0"/>
              </w:numPr>
              <w:tabs>
                <w:tab w:val="right" w:pos="2726"/>
              </w:tabs>
              <w:spacing w:before="60" w:after="60"/>
              <w:ind w:left="-396"/>
              <w:jc w:val="right"/>
              <w:rPr>
                <w:rFonts w:ascii="Arial Narrow" w:hAnsi="Arial Narrow" w:cs="Arial"/>
                <w:sz w:val="20"/>
              </w:rPr>
            </w:pPr>
          </w:p>
        </w:tc>
        <w:tc>
          <w:tcPr>
            <w:tcW w:w="1701" w:type="dxa"/>
            <w:shd w:val="clear" w:color="auto" w:fill="auto"/>
          </w:tcPr>
          <w:p w14:paraId="6035232F" w14:textId="77777777" w:rsidR="000A5F24" w:rsidRPr="007D512F" w:rsidRDefault="000A5F24" w:rsidP="004956B9">
            <w:pPr>
              <w:pStyle w:val="Indent2"/>
              <w:numPr>
                <w:ilvl w:val="0"/>
                <w:numId w:val="0"/>
              </w:numPr>
              <w:tabs>
                <w:tab w:val="right" w:pos="2726"/>
              </w:tabs>
              <w:spacing w:before="60" w:after="60"/>
              <w:ind w:left="-396"/>
              <w:jc w:val="right"/>
              <w:rPr>
                <w:rFonts w:ascii="Arial Narrow" w:hAnsi="Arial Narrow" w:cs="Arial"/>
                <w:sz w:val="20"/>
              </w:rPr>
            </w:pPr>
          </w:p>
        </w:tc>
      </w:tr>
      <w:tr w:rsidR="000A5F24" w:rsidRPr="007D512F" w14:paraId="024D372B" w14:textId="77777777" w:rsidTr="00574D3E">
        <w:trPr>
          <w:cantSplit/>
        </w:trPr>
        <w:tc>
          <w:tcPr>
            <w:tcW w:w="4253" w:type="dxa"/>
            <w:shd w:val="clear" w:color="auto" w:fill="auto"/>
          </w:tcPr>
          <w:p w14:paraId="418B2197" w14:textId="0A72681F" w:rsidR="000A5F24" w:rsidRPr="007D512F" w:rsidRDefault="000A5F24" w:rsidP="002E763B">
            <w:pPr>
              <w:pStyle w:val="TableText"/>
              <w:rPr>
                <w:szCs w:val="20"/>
              </w:rPr>
            </w:pPr>
            <w:r>
              <w:rPr>
                <w:szCs w:val="20"/>
              </w:rPr>
              <w:t>Expected reliability of each major component of SRAS Equipment in each configuration (See Appendix A example: Component Reliability): List components and % expected reliability</w:t>
            </w:r>
          </w:p>
        </w:tc>
        <w:tc>
          <w:tcPr>
            <w:tcW w:w="1701" w:type="dxa"/>
          </w:tcPr>
          <w:p w14:paraId="11947F7D" w14:textId="58BD0369" w:rsidR="000A5F24" w:rsidRPr="007D512F" w:rsidRDefault="000A5F24" w:rsidP="004956B9">
            <w:pPr>
              <w:pStyle w:val="Indent2"/>
              <w:numPr>
                <w:ilvl w:val="0"/>
                <w:numId w:val="0"/>
              </w:numPr>
              <w:tabs>
                <w:tab w:val="right" w:pos="2726"/>
              </w:tabs>
              <w:spacing w:before="60" w:after="60"/>
              <w:ind w:left="-396"/>
              <w:jc w:val="right"/>
              <w:rPr>
                <w:rFonts w:ascii="Arial Narrow" w:hAnsi="Arial Narrow" w:cs="Arial"/>
                <w:sz w:val="20"/>
              </w:rPr>
            </w:pPr>
          </w:p>
        </w:tc>
        <w:tc>
          <w:tcPr>
            <w:tcW w:w="1701" w:type="dxa"/>
          </w:tcPr>
          <w:p w14:paraId="08EBABE4" w14:textId="77777777" w:rsidR="000A5F24" w:rsidRPr="007D512F" w:rsidRDefault="000A5F24" w:rsidP="004956B9">
            <w:pPr>
              <w:pStyle w:val="Indent2"/>
              <w:numPr>
                <w:ilvl w:val="0"/>
                <w:numId w:val="0"/>
              </w:numPr>
              <w:tabs>
                <w:tab w:val="right" w:pos="2726"/>
              </w:tabs>
              <w:spacing w:before="60" w:after="60"/>
              <w:ind w:left="-396"/>
              <w:jc w:val="right"/>
              <w:rPr>
                <w:rFonts w:ascii="Arial Narrow" w:hAnsi="Arial Narrow" w:cs="Arial"/>
                <w:sz w:val="20"/>
              </w:rPr>
            </w:pPr>
          </w:p>
        </w:tc>
        <w:tc>
          <w:tcPr>
            <w:tcW w:w="1701" w:type="dxa"/>
            <w:shd w:val="clear" w:color="auto" w:fill="auto"/>
          </w:tcPr>
          <w:p w14:paraId="542DF642" w14:textId="77777777" w:rsidR="000A5F24" w:rsidRPr="007D512F" w:rsidRDefault="000A5F24" w:rsidP="004956B9">
            <w:pPr>
              <w:pStyle w:val="Indent2"/>
              <w:numPr>
                <w:ilvl w:val="0"/>
                <w:numId w:val="0"/>
              </w:numPr>
              <w:tabs>
                <w:tab w:val="right" w:pos="2726"/>
              </w:tabs>
              <w:spacing w:before="60" w:after="60"/>
              <w:ind w:left="-396"/>
              <w:jc w:val="right"/>
              <w:rPr>
                <w:rFonts w:ascii="Arial Narrow" w:hAnsi="Arial Narrow" w:cs="Arial"/>
                <w:sz w:val="20"/>
              </w:rPr>
            </w:pPr>
          </w:p>
        </w:tc>
      </w:tr>
      <w:tr w:rsidR="000A5F24" w:rsidRPr="007D512F" w14:paraId="16789A5D" w14:textId="77777777" w:rsidTr="00574D3E">
        <w:trPr>
          <w:cantSplit/>
        </w:trPr>
        <w:tc>
          <w:tcPr>
            <w:tcW w:w="4253" w:type="dxa"/>
            <w:shd w:val="clear" w:color="auto" w:fill="auto"/>
          </w:tcPr>
          <w:p w14:paraId="7538C028" w14:textId="09B80B07" w:rsidR="000A5F24" w:rsidRDefault="000A5F24" w:rsidP="002E763B">
            <w:pPr>
              <w:pStyle w:val="TableText"/>
              <w:rPr>
                <w:szCs w:val="20"/>
              </w:rPr>
            </w:pPr>
            <w:r>
              <w:rPr>
                <w:szCs w:val="20"/>
              </w:rPr>
              <w:t>Expected combined reliability of all major components of SRAS Equipment in each configuration (See Appendix A example: Point of failure calculation). List a single % for each configuration</w:t>
            </w:r>
          </w:p>
        </w:tc>
        <w:tc>
          <w:tcPr>
            <w:tcW w:w="1701" w:type="dxa"/>
          </w:tcPr>
          <w:p w14:paraId="1D30B85F" w14:textId="26E3D623" w:rsidR="000A5F24" w:rsidRPr="007D512F" w:rsidRDefault="000A5F24" w:rsidP="004956B9">
            <w:pPr>
              <w:pStyle w:val="Indent2"/>
              <w:numPr>
                <w:ilvl w:val="0"/>
                <w:numId w:val="0"/>
              </w:numPr>
              <w:tabs>
                <w:tab w:val="right" w:pos="2726"/>
              </w:tabs>
              <w:spacing w:before="60" w:after="60"/>
              <w:ind w:left="-396"/>
              <w:jc w:val="right"/>
              <w:rPr>
                <w:rFonts w:ascii="Arial Narrow" w:hAnsi="Arial Narrow" w:cs="Arial"/>
                <w:sz w:val="20"/>
              </w:rPr>
            </w:pPr>
          </w:p>
        </w:tc>
        <w:tc>
          <w:tcPr>
            <w:tcW w:w="1701" w:type="dxa"/>
          </w:tcPr>
          <w:p w14:paraId="711DC609" w14:textId="77777777" w:rsidR="000A5F24" w:rsidRPr="007D512F" w:rsidRDefault="000A5F24" w:rsidP="004956B9">
            <w:pPr>
              <w:pStyle w:val="Indent2"/>
              <w:numPr>
                <w:ilvl w:val="0"/>
                <w:numId w:val="0"/>
              </w:numPr>
              <w:tabs>
                <w:tab w:val="right" w:pos="2726"/>
              </w:tabs>
              <w:spacing w:before="60" w:after="60"/>
              <w:ind w:left="-396"/>
              <w:jc w:val="right"/>
              <w:rPr>
                <w:rFonts w:ascii="Arial Narrow" w:hAnsi="Arial Narrow" w:cs="Arial"/>
                <w:sz w:val="20"/>
              </w:rPr>
            </w:pPr>
          </w:p>
        </w:tc>
        <w:tc>
          <w:tcPr>
            <w:tcW w:w="1701" w:type="dxa"/>
            <w:shd w:val="clear" w:color="auto" w:fill="auto"/>
          </w:tcPr>
          <w:p w14:paraId="1E4349F2" w14:textId="77777777" w:rsidR="000A5F24" w:rsidRPr="007D512F" w:rsidRDefault="000A5F24" w:rsidP="004956B9">
            <w:pPr>
              <w:pStyle w:val="Indent2"/>
              <w:numPr>
                <w:ilvl w:val="0"/>
                <w:numId w:val="0"/>
              </w:numPr>
              <w:tabs>
                <w:tab w:val="right" w:pos="2726"/>
              </w:tabs>
              <w:spacing w:before="60" w:after="60"/>
              <w:ind w:left="-396"/>
              <w:jc w:val="right"/>
              <w:rPr>
                <w:rFonts w:ascii="Arial Narrow" w:hAnsi="Arial Narrow" w:cs="Arial"/>
                <w:sz w:val="20"/>
              </w:rPr>
            </w:pPr>
          </w:p>
        </w:tc>
      </w:tr>
    </w:tbl>
    <w:p w14:paraId="2E72253A" w14:textId="7AB0A8B5" w:rsidR="00BF205E" w:rsidRPr="000E4C64" w:rsidRDefault="00BF205E" w:rsidP="0072709B">
      <w:pPr>
        <w:pStyle w:val="TxtNum1"/>
        <w:tabs>
          <w:tab w:val="clear" w:pos="1276"/>
          <w:tab w:val="num" w:pos="567"/>
        </w:tabs>
        <w:spacing w:before="120"/>
        <w:ind w:left="567"/>
        <w:rPr>
          <w:rStyle w:val="BodyTextChar"/>
        </w:rPr>
      </w:pPr>
      <w:r w:rsidRPr="007D512F">
        <w:rPr>
          <w:rStyle w:val="BodyTextChar"/>
          <w:sz w:val="20"/>
          <w:szCs w:val="20"/>
        </w:rPr>
        <w:t>The following information must be provided to support assess</w:t>
      </w:r>
      <w:r w:rsidR="003F1161" w:rsidRPr="007D512F">
        <w:rPr>
          <w:rStyle w:val="BodyTextChar"/>
          <w:sz w:val="20"/>
          <w:szCs w:val="20"/>
        </w:rPr>
        <w:t>m</w:t>
      </w:r>
      <w:r w:rsidRPr="007D512F">
        <w:rPr>
          <w:rStyle w:val="BodyTextChar"/>
          <w:sz w:val="20"/>
          <w:szCs w:val="20"/>
        </w:rPr>
        <w:t>e</w:t>
      </w:r>
      <w:r w:rsidR="003F1161" w:rsidRPr="007D512F">
        <w:rPr>
          <w:rStyle w:val="BodyTextChar"/>
          <w:sz w:val="20"/>
          <w:szCs w:val="20"/>
        </w:rPr>
        <w:t>n</w:t>
      </w:r>
      <w:r w:rsidRPr="007D512F">
        <w:rPr>
          <w:rStyle w:val="BodyTextChar"/>
          <w:sz w:val="20"/>
          <w:szCs w:val="20"/>
        </w:rPr>
        <w:t xml:space="preserve">t of </w:t>
      </w:r>
      <w:r w:rsidR="000E4C64">
        <w:rPr>
          <w:rStyle w:val="BodyTextChar"/>
          <w:sz w:val="20"/>
          <w:szCs w:val="20"/>
        </w:rPr>
        <w:t xml:space="preserve">SRAS Equipment </w:t>
      </w:r>
      <w:r w:rsidRPr="007D512F">
        <w:rPr>
          <w:rStyle w:val="BodyTextChar"/>
          <w:sz w:val="20"/>
          <w:szCs w:val="20"/>
        </w:rPr>
        <w:t>Reliability:</w:t>
      </w:r>
    </w:p>
    <w:tbl>
      <w:tblPr>
        <w:tblStyle w:val="TableGrid"/>
        <w:tblW w:w="9356" w:type="dxa"/>
        <w:tblInd w:w="-5" w:type="dxa"/>
        <w:tblLook w:val="04A0" w:firstRow="1" w:lastRow="0" w:firstColumn="1" w:lastColumn="0" w:noHBand="0" w:noVBand="1"/>
      </w:tblPr>
      <w:tblGrid>
        <w:gridCol w:w="4962"/>
        <w:gridCol w:w="4394"/>
      </w:tblGrid>
      <w:tr w:rsidR="00E53644" w:rsidRPr="007D512F" w14:paraId="17C72E9D" w14:textId="77777777" w:rsidTr="04739D94">
        <w:trPr>
          <w:tblHeader/>
        </w:trPr>
        <w:tc>
          <w:tcPr>
            <w:tcW w:w="4962" w:type="dxa"/>
            <w:shd w:val="clear" w:color="auto" w:fill="BFBFBF" w:themeFill="background1" w:themeFillShade="BF"/>
          </w:tcPr>
          <w:p w14:paraId="6C0ADD43" w14:textId="64E69921" w:rsidR="00E53644" w:rsidRPr="002D453D" w:rsidRDefault="00E53644" w:rsidP="00721821">
            <w:pPr>
              <w:pStyle w:val="Indent2"/>
              <w:numPr>
                <w:ilvl w:val="0"/>
                <w:numId w:val="0"/>
              </w:numPr>
              <w:tabs>
                <w:tab w:val="right" w:pos="2726"/>
              </w:tabs>
              <w:spacing w:before="60" w:after="60"/>
              <w:ind w:left="142"/>
              <w:rPr>
                <w:rFonts w:ascii="Arial Narrow" w:hAnsi="Arial Narrow"/>
                <w:sz w:val="20"/>
              </w:rPr>
            </w:pPr>
            <w:r w:rsidRPr="002D453D">
              <w:rPr>
                <w:rFonts w:ascii="Arial Narrow" w:hAnsi="Arial Narrow" w:cs="Arial"/>
                <w:b/>
                <w:sz w:val="20"/>
              </w:rPr>
              <w:lastRenderedPageBreak/>
              <w:t>Requirement</w:t>
            </w:r>
          </w:p>
        </w:tc>
        <w:tc>
          <w:tcPr>
            <w:tcW w:w="4394" w:type="dxa"/>
            <w:shd w:val="clear" w:color="auto" w:fill="BFBFBF" w:themeFill="background1" w:themeFillShade="BF"/>
          </w:tcPr>
          <w:p w14:paraId="77D74035" w14:textId="77777777" w:rsidR="00E53644" w:rsidRPr="002D453D" w:rsidRDefault="00E53644" w:rsidP="00721821">
            <w:pPr>
              <w:pStyle w:val="Indent2"/>
              <w:numPr>
                <w:ilvl w:val="0"/>
                <w:numId w:val="0"/>
              </w:numPr>
              <w:tabs>
                <w:tab w:val="right" w:pos="2726"/>
              </w:tabs>
              <w:spacing w:before="60" w:after="60"/>
              <w:ind w:left="142"/>
              <w:rPr>
                <w:rFonts w:ascii="Arial Narrow" w:hAnsi="Arial Narrow" w:cs="Arial"/>
                <w:b/>
                <w:sz w:val="20"/>
              </w:rPr>
            </w:pPr>
            <w:r w:rsidRPr="002D453D">
              <w:rPr>
                <w:rFonts w:ascii="Arial Narrow" w:hAnsi="Arial Narrow" w:cs="Arial"/>
                <w:b/>
                <w:sz w:val="20"/>
              </w:rPr>
              <w:t>Description/Response</w:t>
            </w:r>
          </w:p>
        </w:tc>
      </w:tr>
      <w:tr w:rsidR="00E53644" w:rsidRPr="007D512F" w14:paraId="1C161D13" w14:textId="77777777" w:rsidTr="04739D94">
        <w:tc>
          <w:tcPr>
            <w:tcW w:w="4962" w:type="dxa"/>
          </w:tcPr>
          <w:p w14:paraId="4F53EC2A" w14:textId="38A7FE90" w:rsidR="00E53644" w:rsidRPr="007D512F" w:rsidRDefault="00E53644" w:rsidP="00345AEC">
            <w:pPr>
              <w:rPr>
                <w:rStyle w:val="BodyTextChar"/>
                <w:sz w:val="20"/>
                <w:szCs w:val="20"/>
              </w:rPr>
            </w:pPr>
            <w:r w:rsidRPr="007D512F">
              <w:rPr>
                <w:rStyle w:val="BodyTextChar"/>
                <w:sz w:val="20"/>
                <w:szCs w:val="20"/>
              </w:rPr>
              <w:t>Provide single line diagrams for each configuration of major equipment that constituting SRAS Equipment. As a minimum, the configuration that includes all SRAS Equipment must be defined</w:t>
            </w:r>
          </w:p>
        </w:tc>
        <w:tc>
          <w:tcPr>
            <w:tcW w:w="4394" w:type="dxa"/>
          </w:tcPr>
          <w:p w14:paraId="6197EAC3" w14:textId="77777777" w:rsidR="00E53644" w:rsidRPr="007D512F" w:rsidRDefault="00E53644" w:rsidP="00345AEC">
            <w:pPr>
              <w:rPr>
                <w:rStyle w:val="BodyTextChar"/>
                <w:sz w:val="20"/>
                <w:szCs w:val="20"/>
              </w:rPr>
            </w:pPr>
          </w:p>
        </w:tc>
      </w:tr>
      <w:tr w:rsidR="00E53644" w:rsidRPr="007D512F" w14:paraId="1DCFB1A0" w14:textId="77777777" w:rsidTr="04739D94">
        <w:tc>
          <w:tcPr>
            <w:tcW w:w="4962" w:type="dxa"/>
          </w:tcPr>
          <w:p w14:paraId="29EB5A9A" w14:textId="6E186BE4" w:rsidR="00E53644" w:rsidRDefault="00E53644" w:rsidP="0075220B">
            <w:pPr>
              <w:rPr>
                <w:rStyle w:val="BodyTextChar"/>
                <w:sz w:val="20"/>
                <w:szCs w:val="20"/>
              </w:rPr>
            </w:pPr>
            <w:r>
              <w:rPr>
                <w:rStyle w:val="BodyTextChar"/>
                <w:sz w:val="20"/>
                <w:szCs w:val="20"/>
              </w:rPr>
              <w:t xml:space="preserve">Provide planned maintenance schedule covering the components of SRAS Equipment in each configuration, for the next 24 months. </w:t>
            </w:r>
          </w:p>
        </w:tc>
        <w:tc>
          <w:tcPr>
            <w:tcW w:w="4394" w:type="dxa"/>
          </w:tcPr>
          <w:p w14:paraId="44FFA0FC" w14:textId="77777777" w:rsidR="00E53644" w:rsidRPr="007D512F" w:rsidRDefault="00E53644" w:rsidP="00345AEC">
            <w:pPr>
              <w:rPr>
                <w:rStyle w:val="BodyTextChar"/>
                <w:sz w:val="20"/>
                <w:szCs w:val="20"/>
              </w:rPr>
            </w:pPr>
          </w:p>
        </w:tc>
      </w:tr>
      <w:tr w:rsidR="00E53644" w:rsidRPr="007D512F" w14:paraId="1A427E8A" w14:textId="77777777" w:rsidTr="04739D94">
        <w:tc>
          <w:tcPr>
            <w:tcW w:w="4962" w:type="dxa"/>
          </w:tcPr>
          <w:p w14:paraId="17661A67" w14:textId="59964BDD" w:rsidR="00E53644" w:rsidRPr="007D512F" w:rsidRDefault="00A33217" w:rsidP="00A33217">
            <w:pPr>
              <w:rPr>
                <w:rStyle w:val="BodyTextChar"/>
                <w:sz w:val="20"/>
                <w:szCs w:val="20"/>
              </w:rPr>
            </w:pPr>
            <w:r>
              <w:rPr>
                <w:rStyle w:val="BodyTextChar"/>
                <w:sz w:val="20"/>
                <w:szCs w:val="20"/>
              </w:rPr>
              <w:t xml:space="preserve">Where the SRAS Equipment is part of a </w:t>
            </w:r>
            <w:r>
              <w:rPr>
                <w:rStyle w:val="BodyTextChar"/>
                <w:i/>
                <w:sz w:val="20"/>
                <w:szCs w:val="20"/>
              </w:rPr>
              <w:t xml:space="preserve">generating system, </w:t>
            </w:r>
            <w:r>
              <w:rPr>
                <w:rStyle w:val="BodyTextChar"/>
                <w:sz w:val="20"/>
                <w:szCs w:val="20"/>
              </w:rPr>
              <w:t>i</w:t>
            </w:r>
            <w:r w:rsidR="00E53644">
              <w:rPr>
                <w:rStyle w:val="BodyTextChar"/>
                <w:sz w:val="20"/>
                <w:szCs w:val="20"/>
              </w:rPr>
              <w:t>s the Service (for each configuration) consistent with the</w:t>
            </w:r>
            <w:r w:rsidR="00E53644" w:rsidRPr="007D512F">
              <w:rPr>
                <w:rStyle w:val="BodyTextChar"/>
                <w:sz w:val="20"/>
                <w:szCs w:val="20"/>
              </w:rPr>
              <w:t xml:space="preserve"> </w:t>
            </w:r>
            <w:r w:rsidR="00E53644">
              <w:rPr>
                <w:rStyle w:val="BodyTextChar"/>
                <w:sz w:val="20"/>
                <w:szCs w:val="20"/>
              </w:rPr>
              <w:t xml:space="preserve">current </w:t>
            </w:r>
            <w:r w:rsidR="00E53644" w:rsidRPr="007D512F">
              <w:rPr>
                <w:rStyle w:val="BodyTextChar"/>
                <w:sz w:val="20"/>
                <w:szCs w:val="20"/>
              </w:rPr>
              <w:t xml:space="preserve">Local Black System Procedure (LBSP) </w:t>
            </w:r>
            <w:r w:rsidR="00E53644">
              <w:rPr>
                <w:rStyle w:val="BodyTextChar"/>
                <w:sz w:val="20"/>
                <w:szCs w:val="20"/>
              </w:rPr>
              <w:t xml:space="preserve">applicable to the relevant </w:t>
            </w:r>
            <w:r w:rsidR="00E53644" w:rsidRPr="00D858B0">
              <w:rPr>
                <w:rStyle w:val="BodyTextChar"/>
                <w:i/>
                <w:sz w:val="20"/>
                <w:szCs w:val="20"/>
              </w:rPr>
              <w:t>generating system</w:t>
            </w:r>
            <w:r w:rsidR="00E53644">
              <w:rPr>
                <w:rStyle w:val="BodyTextChar"/>
                <w:sz w:val="20"/>
                <w:szCs w:val="20"/>
              </w:rPr>
              <w:t>?</w:t>
            </w:r>
            <w:r w:rsidR="00E53644" w:rsidRPr="007D512F">
              <w:rPr>
                <w:rStyle w:val="FootnoteReference"/>
                <w:rFonts w:ascii="Arial Narrow" w:hAnsi="Arial Narrow"/>
                <w:sz w:val="20"/>
              </w:rPr>
              <w:footnoteReference w:id="7"/>
            </w:r>
            <w:r w:rsidR="00E53644" w:rsidRPr="007D512F">
              <w:rPr>
                <w:rStyle w:val="BodyTextChar"/>
                <w:sz w:val="20"/>
                <w:szCs w:val="20"/>
              </w:rPr>
              <w:t>.</w:t>
            </w:r>
          </w:p>
        </w:tc>
        <w:tc>
          <w:tcPr>
            <w:tcW w:w="4394" w:type="dxa"/>
          </w:tcPr>
          <w:p w14:paraId="430F933F" w14:textId="77777777" w:rsidR="00E53644" w:rsidRDefault="00E53644" w:rsidP="00345AEC">
            <w:pPr>
              <w:rPr>
                <w:rStyle w:val="BodyTextChar"/>
                <w:sz w:val="20"/>
                <w:szCs w:val="20"/>
              </w:rPr>
            </w:pPr>
            <w:r>
              <w:rPr>
                <w:rStyle w:val="BodyTextChar"/>
                <w:sz w:val="20"/>
                <w:szCs w:val="20"/>
              </w:rPr>
              <w:t>[</w:t>
            </w:r>
            <w:r w:rsidRPr="00D858B0">
              <w:rPr>
                <w:rStyle w:val="BodyTextChar"/>
                <w:i/>
                <w:sz w:val="20"/>
                <w:szCs w:val="20"/>
              </w:rPr>
              <w:t>Delete inapplicable responses</w:t>
            </w:r>
            <w:r>
              <w:rPr>
                <w:rStyle w:val="BodyTextChar"/>
                <w:sz w:val="20"/>
                <w:szCs w:val="20"/>
              </w:rPr>
              <w:t>]</w:t>
            </w:r>
          </w:p>
          <w:p w14:paraId="4790A9B5" w14:textId="77777777" w:rsidR="00E53644" w:rsidRDefault="00E53644" w:rsidP="00345AEC">
            <w:pPr>
              <w:rPr>
                <w:rStyle w:val="BodyTextChar"/>
                <w:sz w:val="20"/>
                <w:szCs w:val="20"/>
              </w:rPr>
            </w:pPr>
            <w:r>
              <w:rPr>
                <w:rStyle w:val="BodyTextChar"/>
                <w:sz w:val="20"/>
                <w:szCs w:val="20"/>
              </w:rPr>
              <w:t>Yes</w:t>
            </w:r>
          </w:p>
          <w:p w14:paraId="13CB6C15" w14:textId="77777777" w:rsidR="00E53644" w:rsidRDefault="00E53644" w:rsidP="00345AEC">
            <w:pPr>
              <w:rPr>
                <w:rStyle w:val="BodyTextChar"/>
                <w:sz w:val="20"/>
                <w:szCs w:val="20"/>
              </w:rPr>
            </w:pPr>
            <w:r>
              <w:rPr>
                <w:rStyle w:val="BodyTextChar"/>
                <w:sz w:val="20"/>
                <w:szCs w:val="20"/>
              </w:rPr>
              <w:t>No – updated LBSP attached</w:t>
            </w:r>
          </w:p>
          <w:p w14:paraId="7DFE279C" w14:textId="77777777" w:rsidR="00E53644" w:rsidRPr="007D512F" w:rsidRDefault="00E53644" w:rsidP="00345AEC">
            <w:pPr>
              <w:rPr>
                <w:rStyle w:val="BodyTextChar"/>
                <w:sz w:val="20"/>
                <w:szCs w:val="20"/>
              </w:rPr>
            </w:pPr>
            <w:r>
              <w:rPr>
                <w:rStyle w:val="BodyTextChar"/>
                <w:sz w:val="20"/>
                <w:szCs w:val="20"/>
              </w:rPr>
              <w:t>No – updated LBSP to be submitted to AEMO by [insert date]</w:t>
            </w:r>
          </w:p>
        </w:tc>
      </w:tr>
      <w:tr w:rsidR="00E53644" w:rsidRPr="007D512F" w14:paraId="43979CC6" w14:textId="77777777" w:rsidTr="04739D94">
        <w:tc>
          <w:tcPr>
            <w:tcW w:w="4962" w:type="dxa"/>
          </w:tcPr>
          <w:p w14:paraId="03FD3925" w14:textId="660EF2E7" w:rsidR="00E53644" w:rsidRPr="0075220B" w:rsidRDefault="004E7DBD" w:rsidP="00F10167">
            <w:pPr>
              <w:rPr>
                <w:rStyle w:val="BodyTextChar"/>
                <w:sz w:val="20"/>
                <w:szCs w:val="20"/>
              </w:rPr>
            </w:pPr>
            <w:r>
              <w:rPr>
                <w:rStyle w:val="BodyTextChar"/>
                <w:sz w:val="20"/>
                <w:szCs w:val="20"/>
              </w:rPr>
              <w:t>P</w:t>
            </w:r>
            <w:r w:rsidR="00E53644" w:rsidRPr="007D512F">
              <w:rPr>
                <w:rStyle w:val="BodyTextChar"/>
                <w:sz w:val="20"/>
                <w:szCs w:val="20"/>
              </w:rPr>
              <w:t xml:space="preserve">rovide information </w:t>
            </w:r>
            <w:r w:rsidR="00E53644">
              <w:rPr>
                <w:rStyle w:val="BodyTextChar"/>
                <w:sz w:val="20"/>
                <w:szCs w:val="20"/>
              </w:rPr>
              <w:t xml:space="preserve">about the </w:t>
            </w:r>
            <w:r w:rsidR="007D1BA0">
              <w:rPr>
                <w:rStyle w:val="BodyTextChar"/>
                <w:sz w:val="20"/>
                <w:szCs w:val="20"/>
              </w:rPr>
              <w:t xml:space="preserve">nature and </w:t>
            </w:r>
            <w:r w:rsidR="00E53644">
              <w:rPr>
                <w:rStyle w:val="BodyTextChar"/>
                <w:sz w:val="20"/>
                <w:szCs w:val="20"/>
              </w:rPr>
              <w:t xml:space="preserve">availability of </w:t>
            </w:r>
            <w:r w:rsidR="007D1BA0">
              <w:rPr>
                <w:rStyle w:val="BodyTextChar"/>
                <w:sz w:val="20"/>
                <w:szCs w:val="20"/>
              </w:rPr>
              <w:t xml:space="preserve">any alternative </w:t>
            </w:r>
            <w:r w:rsidR="00E53644">
              <w:rPr>
                <w:rStyle w:val="BodyTextChar"/>
                <w:sz w:val="20"/>
                <w:szCs w:val="20"/>
              </w:rPr>
              <w:t xml:space="preserve">fuel source for the SRAS </w:t>
            </w:r>
            <w:r w:rsidR="00F10167">
              <w:rPr>
                <w:rStyle w:val="BodyTextChar"/>
                <w:sz w:val="20"/>
                <w:szCs w:val="20"/>
              </w:rPr>
              <w:t>E</w:t>
            </w:r>
            <w:r w:rsidR="00E53644">
              <w:rPr>
                <w:rStyle w:val="BodyTextChar"/>
                <w:sz w:val="20"/>
                <w:szCs w:val="20"/>
              </w:rPr>
              <w:t>quipment</w:t>
            </w:r>
            <w:r w:rsidR="007D1BA0">
              <w:rPr>
                <w:rStyle w:val="BodyTextChar"/>
                <w:sz w:val="20"/>
                <w:szCs w:val="20"/>
              </w:rPr>
              <w:t>.</w:t>
            </w:r>
          </w:p>
        </w:tc>
        <w:tc>
          <w:tcPr>
            <w:tcW w:w="4394" w:type="dxa"/>
          </w:tcPr>
          <w:p w14:paraId="2485FF15" w14:textId="77777777" w:rsidR="00E53644" w:rsidRPr="007D512F" w:rsidRDefault="00E53644" w:rsidP="00345AEC">
            <w:pPr>
              <w:rPr>
                <w:rStyle w:val="BodyTextChar"/>
                <w:sz w:val="20"/>
                <w:szCs w:val="20"/>
              </w:rPr>
            </w:pPr>
          </w:p>
        </w:tc>
      </w:tr>
      <w:tr w:rsidR="00E53644" w:rsidRPr="007D512F" w14:paraId="77D25A39" w14:textId="77777777" w:rsidTr="04739D94">
        <w:tc>
          <w:tcPr>
            <w:tcW w:w="4962" w:type="dxa"/>
          </w:tcPr>
          <w:p w14:paraId="2A663119" w14:textId="36EA1EC3" w:rsidR="00E53644" w:rsidRPr="007D512F" w:rsidRDefault="00E53644" w:rsidP="00E767B6">
            <w:pPr>
              <w:rPr>
                <w:rStyle w:val="BodyTextChar"/>
                <w:sz w:val="20"/>
                <w:szCs w:val="20"/>
              </w:rPr>
            </w:pPr>
            <w:r>
              <w:rPr>
                <w:rStyle w:val="BodyTextChar"/>
                <w:sz w:val="20"/>
                <w:szCs w:val="20"/>
              </w:rPr>
              <w:t>W</w:t>
            </w:r>
            <w:r w:rsidRPr="007D512F">
              <w:rPr>
                <w:rStyle w:val="BodyTextChar"/>
                <w:sz w:val="20"/>
                <w:szCs w:val="20"/>
              </w:rPr>
              <w:t>ith respect to any communications links between the power station site and locations from which SRAS units starting will be initiated:</w:t>
            </w:r>
          </w:p>
          <w:p w14:paraId="2D764567" w14:textId="68D6EFBE" w:rsidR="00E53644" w:rsidRDefault="00E53644" w:rsidP="0072709B">
            <w:pPr>
              <w:pStyle w:val="ListParagraph"/>
              <w:numPr>
                <w:ilvl w:val="4"/>
                <w:numId w:val="9"/>
              </w:numPr>
              <w:ind w:left="459" w:hanging="425"/>
              <w:rPr>
                <w:rStyle w:val="BodyTextChar"/>
                <w:sz w:val="20"/>
                <w:szCs w:val="20"/>
              </w:rPr>
            </w:pPr>
            <w:r w:rsidRPr="00400701">
              <w:rPr>
                <w:rStyle w:val="BodyTextChar"/>
                <w:sz w:val="20"/>
                <w:szCs w:val="20"/>
              </w:rPr>
              <w:t xml:space="preserve">Does starting of SRAS Equipment rely on communications links e.g. is control centre remotely located from </w:t>
            </w:r>
            <w:r w:rsidR="00A33217">
              <w:rPr>
                <w:rStyle w:val="BodyTextChar"/>
                <w:sz w:val="20"/>
                <w:szCs w:val="20"/>
              </w:rPr>
              <w:t>SRAS Equipment</w:t>
            </w:r>
            <w:r w:rsidRPr="00400701">
              <w:rPr>
                <w:rStyle w:val="BodyTextChar"/>
                <w:sz w:val="20"/>
                <w:szCs w:val="20"/>
              </w:rPr>
              <w:t>?</w:t>
            </w:r>
          </w:p>
          <w:p w14:paraId="1FECE3B9" w14:textId="50D64BA5" w:rsidR="00E53644" w:rsidRDefault="00E53644" w:rsidP="0072709B">
            <w:pPr>
              <w:pStyle w:val="ListParagraph"/>
              <w:numPr>
                <w:ilvl w:val="4"/>
                <w:numId w:val="9"/>
              </w:numPr>
              <w:ind w:left="459" w:hanging="425"/>
              <w:rPr>
                <w:rStyle w:val="BodyTextChar"/>
                <w:sz w:val="20"/>
                <w:szCs w:val="20"/>
              </w:rPr>
            </w:pPr>
            <w:r w:rsidRPr="00400701">
              <w:rPr>
                <w:rStyle w:val="BodyTextChar"/>
                <w:sz w:val="20"/>
                <w:szCs w:val="20"/>
              </w:rPr>
              <w:t xml:space="preserve">If yes to </w:t>
            </w:r>
            <w:r>
              <w:rPr>
                <w:rStyle w:val="BodyTextChar"/>
                <w:sz w:val="20"/>
                <w:szCs w:val="20"/>
              </w:rPr>
              <w:t>(</w:t>
            </w:r>
            <w:r w:rsidRPr="00400701">
              <w:rPr>
                <w:rStyle w:val="BodyTextChar"/>
                <w:sz w:val="20"/>
                <w:szCs w:val="20"/>
              </w:rPr>
              <w:t>a</w:t>
            </w:r>
            <w:r>
              <w:rPr>
                <w:rStyle w:val="BodyTextChar"/>
                <w:sz w:val="20"/>
                <w:szCs w:val="20"/>
              </w:rPr>
              <w:t>)</w:t>
            </w:r>
            <w:r w:rsidRPr="00400701">
              <w:rPr>
                <w:rStyle w:val="BodyTextChar"/>
                <w:sz w:val="20"/>
                <w:szCs w:val="20"/>
              </w:rPr>
              <w:t xml:space="preserve">, identify </w:t>
            </w:r>
            <w:r>
              <w:rPr>
                <w:rStyle w:val="BodyTextChar"/>
                <w:sz w:val="20"/>
                <w:szCs w:val="20"/>
              </w:rPr>
              <w:t xml:space="preserve">any </w:t>
            </w:r>
            <w:r w:rsidRPr="00400701">
              <w:rPr>
                <w:rStyle w:val="BodyTextChar"/>
                <w:sz w:val="20"/>
                <w:szCs w:val="20"/>
              </w:rPr>
              <w:t xml:space="preserve">alternative communications paths that provide redundancy in case </w:t>
            </w:r>
            <w:r w:rsidR="00E04D3A" w:rsidRPr="00400701">
              <w:rPr>
                <w:rStyle w:val="BodyTextChar"/>
                <w:sz w:val="20"/>
                <w:szCs w:val="20"/>
              </w:rPr>
              <w:t>anyone</w:t>
            </w:r>
            <w:r w:rsidRPr="00400701">
              <w:rPr>
                <w:rStyle w:val="BodyTextChar"/>
                <w:sz w:val="20"/>
                <w:szCs w:val="20"/>
              </w:rPr>
              <w:t xml:space="preserve"> link is unavailable</w:t>
            </w:r>
          </w:p>
          <w:p w14:paraId="24BE4AA0" w14:textId="4D7B2C3D" w:rsidR="00E53644" w:rsidRPr="00400701" w:rsidRDefault="00E53644" w:rsidP="0072709B">
            <w:pPr>
              <w:pStyle w:val="ListParagraph"/>
              <w:numPr>
                <w:ilvl w:val="4"/>
                <w:numId w:val="9"/>
              </w:numPr>
              <w:ind w:left="459" w:hanging="425"/>
              <w:rPr>
                <w:rStyle w:val="BodyTextChar"/>
                <w:sz w:val="20"/>
                <w:szCs w:val="20"/>
              </w:rPr>
            </w:pPr>
            <w:r w:rsidRPr="00400701">
              <w:rPr>
                <w:rStyle w:val="BodyTextChar"/>
                <w:sz w:val="20"/>
                <w:szCs w:val="20"/>
              </w:rPr>
              <w:t xml:space="preserve">If yes to </w:t>
            </w:r>
            <w:r>
              <w:rPr>
                <w:rStyle w:val="BodyTextChar"/>
                <w:sz w:val="20"/>
                <w:szCs w:val="20"/>
              </w:rPr>
              <w:t>(</w:t>
            </w:r>
            <w:r w:rsidRPr="00400701">
              <w:rPr>
                <w:rStyle w:val="BodyTextChar"/>
                <w:sz w:val="20"/>
                <w:szCs w:val="20"/>
              </w:rPr>
              <w:t>a</w:t>
            </w:r>
            <w:r>
              <w:rPr>
                <w:rStyle w:val="BodyTextChar"/>
                <w:sz w:val="20"/>
                <w:szCs w:val="20"/>
              </w:rPr>
              <w:t>)</w:t>
            </w:r>
            <w:r w:rsidRPr="00400701">
              <w:rPr>
                <w:rStyle w:val="BodyTextChar"/>
                <w:sz w:val="20"/>
                <w:szCs w:val="20"/>
              </w:rPr>
              <w:t xml:space="preserve">, identify major </w:t>
            </w:r>
            <w:r w:rsidR="007D1BA0">
              <w:rPr>
                <w:rStyle w:val="BodyTextChar"/>
                <w:sz w:val="20"/>
                <w:szCs w:val="20"/>
              </w:rPr>
              <w:t>channels</w:t>
            </w:r>
            <w:r w:rsidRPr="00400701">
              <w:rPr>
                <w:rStyle w:val="BodyTextChar"/>
                <w:sz w:val="20"/>
                <w:szCs w:val="20"/>
              </w:rPr>
              <w:t xml:space="preserve"> for each stage (if applicable) of these paths e.g. Path 1 - TNSP Operational Telephone Network; Path 2 - Telstra cellular network (x to y), the Optus Network (y to z)</w:t>
            </w:r>
            <w:r>
              <w:rPr>
                <w:rStyle w:val="BodyTextChar"/>
                <w:sz w:val="20"/>
                <w:szCs w:val="20"/>
              </w:rPr>
              <w:t>.</w:t>
            </w:r>
          </w:p>
        </w:tc>
        <w:tc>
          <w:tcPr>
            <w:tcW w:w="4394" w:type="dxa"/>
          </w:tcPr>
          <w:p w14:paraId="3341A136" w14:textId="77777777" w:rsidR="00E53644" w:rsidRPr="007D512F" w:rsidRDefault="00E53644" w:rsidP="00E767B6">
            <w:pPr>
              <w:rPr>
                <w:rStyle w:val="BodyTextChar"/>
                <w:sz w:val="20"/>
                <w:szCs w:val="20"/>
              </w:rPr>
            </w:pPr>
          </w:p>
        </w:tc>
      </w:tr>
      <w:tr w:rsidR="00E53644" w:rsidRPr="007D512F" w14:paraId="1F873524" w14:textId="77777777" w:rsidTr="04739D94">
        <w:tc>
          <w:tcPr>
            <w:tcW w:w="4962" w:type="dxa"/>
          </w:tcPr>
          <w:p w14:paraId="5BDC3318" w14:textId="719CC063" w:rsidR="00E53644" w:rsidRPr="007D512F" w:rsidRDefault="00E53644" w:rsidP="00E767B6">
            <w:pPr>
              <w:rPr>
                <w:rStyle w:val="BodyTextChar"/>
                <w:sz w:val="20"/>
                <w:szCs w:val="20"/>
              </w:rPr>
            </w:pPr>
            <w:r>
              <w:rPr>
                <w:rStyle w:val="BodyTextChar"/>
                <w:sz w:val="20"/>
                <w:szCs w:val="20"/>
              </w:rPr>
              <w:t>Describe</w:t>
            </w:r>
            <w:r w:rsidRPr="007D512F">
              <w:rPr>
                <w:rStyle w:val="BodyTextChar"/>
                <w:sz w:val="20"/>
                <w:szCs w:val="20"/>
              </w:rPr>
              <w:t xml:space="preserve"> any primary plant upgrades within the last </w:t>
            </w:r>
            <w:r w:rsidR="00E943C9">
              <w:rPr>
                <w:rStyle w:val="BodyTextChar"/>
                <w:sz w:val="20"/>
                <w:szCs w:val="20"/>
              </w:rPr>
              <w:t>3</w:t>
            </w:r>
            <w:r w:rsidRPr="007D512F">
              <w:rPr>
                <w:rStyle w:val="BodyTextChar"/>
                <w:sz w:val="20"/>
                <w:szCs w:val="20"/>
              </w:rPr>
              <w:t xml:space="preserve"> years that may materially </w:t>
            </w:r>
            <w:r>
              <w:rPr>
                <w:rStyle w:val="BodyTextChar"/>
                <w:sz w:val="20"/>
                <w:szCs w:val="20"/>
              </w:rPr>
              <w:t>improve</w:t>
            </w:r>
            <w:r w:rsidRPr="007D512F">
              <w:rPr>
                <w:rStyle w:val="BodyTextChar"/>
                <w:sz w:val="20"/>
                <w:szCs w:val="20"/>
              </w:rPr>
              <w:t xml:space="preserve"> SRAS Equipment performance</w:t>
            </w:r>
            <w:r w:rsidR="00DB0BE4">
              <w:rPr>
                <w:rStyle w:val="BodyTextChar"/>
                <w:sz w:val="20"/>
                <w:szCs w:val="20"/>
              </w:rPr>
              <w:t>. F</w:t>
            </w:r>
            <w:r w:rsidR="00DB0BE4" w:rsidRPr="00025B27">
              <w:rPr>
                <w:rStyle w:val="BodyTextChar"/>
                <w:sz w:val="20"/>
                <w:szCs w:val="20"/>
              </w:rPr>
              <w:t>uture upgrades to be included in the section 4 below.</w:t>
            </w:r>
          </w:p>
        </w:tc>
        <w:tc>
          <w:tcPr>
            <w:tcW w:w="4394" w:type="dxa"/>
          </w:tcPr>
          <w:p w14:paraId="29A0F942" w14:textId="77777777" w:rsidR="00E53644" w:rsidRPr="007D512F" w:rsidRDefault="00E53644" w:rsidP="00E767B6">
            <w:pPr>
              <w:rPr>
                <w:rStyle w:val="BodyTextChar"/>
                <w:sz w:val="20"/>
                <w:szCs w:val="20"/>
              </w:rPr>
            </w:pPr>
          </w:p>
        </w:tc>
      </w:tr>
      <w:tr w:rsidR="00E53644" w:rsidRPr="007D512F" w14:paraId="280537F8" w14:textId="77777777" w:rsidTr="04739D94">
        <w:tc>
          <w:tcPr>
            <w:tcW w:w="4962" w:type="dxa"/>
          </w:tcPr>
          <w:p w14:paraId="210E6997" w14:textId="2E31A4F9" w:rsidR="00E53644" w:rsidRPr="007D512F" w:rsidRDefault="00E53644" w:rsidP="0079033B">
            <w:pPr>
              <w:rPr>
                <w:rStyle w:val="BodyTextChar"/>
                <w:sz w:val="20"/>
                <w:szCs w:val="20"/>
              </w:rPr>
            </w:pPr>
            <w:r>
              <w:rPr>
                <w:rStyle w:val="BodyTextChar"/>
                <w:sz w:val="20"/>
                <w:szCs w:val="20"/>
              </w:rPr>
              <w:t>Describe</w:t>
            </w:r>
            <w:r w:rsidRPr="007D512F">
              <w:rPr>
                <w:rStyle w:val="BodyTextChar"/>
                <w:sz w:val="20"/>
                <w:szCs w:val="20"/>
              </w:rPr>
              <w:t xml:space="preserve"> any protection and control system upgrades within the last </w:t>
            </w:r>
            <w:r w:rsidR="00E943C9">
              <w:rPr>
                <w:rStyle w:val="BodyTextChar"/>
                <w:sz w:val="20"/>
                <w:szCs w:val="20"/>
              </w:rPr>
              <w:t>3</w:t>
            </w:r>
            <w:r w:rsidRPr="007D512F">
              <w:rPr>
                <w:rStyle w:val="BodyTextChar"/>
                <w:sz w:val="20"/>
                <w:szCs w:val="20"/>
              </w:rPr>
              <w:t xml:space="preserve"> years that may materially </w:t>
            </w:r>
            <w:r>
              <w:rPr>
                <w:rStyle w:val="BodyTextChar"/>
                <w:sz w:val="20"/>
                <w:szCs w:val="20"/>
              </w:rPr>
              <w:t xml:space="preserve">improve </w:t>
            </w:r>
            <w:r w:rsidRPr="007D512F">
              <w:rPr>
                <w:rStyle w:val="BodyTextChar"/>
                <w:sz w:val="20"/>
                <w:szCs w:val="20"/>
              </w:rPr>
              <w:t>SRAS Equipment performance</w:t>
            </w:r>
            <w:r w:rsidR="00DB0BE4">
              <w:rPr>
                <w:rStyle w:val="BodyTextChar"/>
                <w:sz w:val="20"/>
                <w:szCs w:val="20"/>
              </w:rPr>
              <w:t>. F</w:t>
            </w:r>
            <w:r w:rsidR="00DB0BE4" w:rsidRPr="00600017">
              <w:rPr>
                <w:rStyle w:val="BodyTextChar"/>
                <w:sz w:val="20"/>
                <w:szCs w:val="20"/>
              </w:rPr>
              <w:t>uture upgrades to be included in the section 4 below.</w:t>
            </w:r>
          </w:p>
        </w:tc>
        <w:tc>
          <w:tcPr>
            <w:tcW w:w="4394" w:type="dxa"/>
          </w:tcPr>
          <w:p w14:paraId="40F59295" w14:textId="77777777" w:rsidR="00E53644" w:rsidRPr="007D512F" w:rsidRDefault="00E53644" w:rsidP="00E767B6">
            <w:pPr>
              <w:rPr>
                <w:rStyle w:val="BodyTextChar"/>
                <w:sz w:val="20"/>
                <w:szCs w:val="20"/>
              </w:rPr>
            </w:pPr>
          </w:p>
        </w:tc>
      </w:tr>
      <w:tr w:rsidR="00E53644" w:rsidRPr="007D512F" w14:paraId="30214F7E" w14:textId="77777777" w:rsidTr="04739D94">
        <w:tc>
          <w:tcPr>
            <w:tcW w:w="4962" w:type="dxa"/>
          </w:tcPr>
          <w:p w14:paraId="70ACE777" w14:textId="5472F811" w:rsidR="00BB3E8D" w:rsidRDefault="00357EE6" w:rsidP="00F10167">
            <w:pPr>
              <w:rPr>
                <w:rStyle w:val="BodyTextChar"/>
                <w:sz w:val="20"/>
                <w:szCs w:val="20"/>
              </w:rPr>
            </w:pPr>
            <w:r w:rsidRPr="04739D94">
              <w:rPr>
                <w:rStyle w:val="BodyTextChar"/>
                <w:sz w:val="20"/>
                <w:szCs w:val="20"/>
              </w:rPr>
              <w:t>Provide</w:t>
            </w:r>
            <w:r w:rsidR="000472CD" w:rsidRPr="04739D94">
              <w:rPr>
                <w:rStyle w:val="BodyTextChar"/>
              </w:rPr>
              <w:t xml:space="preserve"> </w:t>
            </w:r>
            <w:r w:rsidR="00F10167" w:rsidRPr="04739D94">
              <w:rPr>
                <w:rStyle w:val="BodyTextChar"/>
                <w:sz w:val="20"/>
                <w:szCs w:val="20"/>
              </w:rPr>
              <w:t xml:space="preserve">a set of </w:t>
            </w:r>
            <w:r w:rsidR="00E96715" w:rsidRPr="04739D94">
              <w:rPr>
                <w:rStyle w:val="BodyTextChar"/>
                <w:sz w:val="20"/>
                <w:szCs w:val="20"/>
              </w:rPr>
              <w:t xml:space="preserve">up to date </w:t>
            </w:r>
            <w:r w:rsidR="00F10167" w:rsidRPr="04739D94">
              <w:rPr>
                <w:rStyle w:val="BodyTextChar"/>
                <w:i/>
                <w:iCs/>
                <w:sz w:val="20"/>
                <w:szCs w:val="20"/>
              </w:rPr>
              <w:t>Power System Design Data Sheets</w:t>
            </w:r>
            <w:r w:rsidR="00F10167" w:rsidRPr="04739D94">
              <w:rPr>
                <w:rStyle w:val="BodyTextChar"/>
                <w:sz w:val="20"/>
                <w:szCs w:val="20"/>
              </w:rPr>
              <w:t xml:space="preserve"> and </w:t>
            </w:r>
            <w:r w:rsidR="00F10167" w:rsidRPr="04739D94">
              <w:rPr>
                <w:rStyle w:val="BodyTextChar"/>
                <w:i/>
                <w:iCs/>
                <w:sz w:val="20"/>
                <w:szCs w:val="20"/>
              </w:rPr>
              <w:t>Power System Setting Data Sheets</w:t>
            </w:r>
            <w:r w:rsidR="00BB3E8D" w:rsidRPr="04739D94">
              <w:rPr>
                <w:rStyle w:val="BodyTextChar"/>
                <w:sz w:val="20"/>
                <w:szCs w:val="20"/>
              </w:rPr>
              <w:t xml:space="preserve"> </w:t>
            </w:r>
            <w:r w:rsidR="00F10167" w:rsidRPr="04739D94">
              <w:rPr>
                <w:rStyle w:val="BodyTextChar"/>
                <w:sz w:val="20"/>
                <w:szCs w:val="20"/>
              </w:rPr>
              <w:t>(</w:t>
            </w:r>
            <w:r w:rsidR="00F10167" w:rsidRPr="04739D94">
              <w:rPr>
                <w:rStyle w:val="BodyTextChar"/>
                <w:b/>
                <w:bCs/>
                <w:sz w:val="20"/>
                <w:szCs w:val="20"/>
              </w:rPr>
              <w:t>Data Sheets</w:t>
            </w:r>
            <w:r w:rsidR="00F10167" w:rsidRPr="04739D94">
              <w:rPr>
                <w:rStyle w:val="BodyTextChar"/>
                <w:sz w:val="20"/>
                <w:szCs w:val="20"/>
              </w:rPr>
              <w:t xml:space="preserve">) containing </w:t>
            </w:r>
            <w:r w:rsidR="00BB3E8D" w:rsidRPr="04739D94">
              <w:rPr>
                <w:rStyle w:val="BodyTextChar"/>
                <w:b/>
                <w:bCs/>
                <w:sz w:val="20"/>
                <w:szCs w:val="20"/>
              </w:rPr>
              <w:t xml:space="preserve">all </w:t>
            </w:r>
            <w:r w:rsidR="00BB3E8D" w:rsidRPr="04739D94">
              <w:rPr>
                <w:rStyle w:val="BodyTextChar"/>
                <w:sz w:val="20"/>
                <w:szCs w:val="20"/>
              </w:rPr>
              <w:t>of the information</w:t>
            </w:r>
            <w:r w:rsidR="00811D82" w:rsidRPr="04739D94">
              <w:rPr>
                <w:rStyle w:val="BodyTextChar"/>
                <w:sz w:val="20"/>
                <w:szCs w:val="20"/>
              </w:rPr>
              <w:t xml:space="preserve"> relevant to the SRAS Equi</w:t>
            </w:r>
            <w:r w:rsidR="6A77E5CD" w:rsidRPr="04739D94">
              <w:rPr>
                <w:rStyle w:val="BodyTextChar"/>
                <w:sz w:val="20"/>
                <w:szCs w:val="20"/>
              </w:rPr>
              <w:t>p</w:t>
            </w:r>
            <w:r w:rsidR="00811D82" w:rsidRPr="04739D94">
              <w:rPr>
                <w:rStyle w:val="BodyTextChar"/>
                <w:sz w:val="20"/>
                <w:szCs w:val="20"/>
              </w:rPr>
              <w:t>me</w:t>
            </w:r>
            <w:r w:rsidR="002D5147" w:rsidRPr="04739D94">
              <w:rPr>
                <w:rStyle w:val="BodyTextChar"/>
                <w:sz w:val="20"/>
                <w:szCs w:val="20"/>
              </w:rPr>
              <w:t xml:space="preserve">nt </w:t>
            </w:r>
            <w:r w:rsidR="000472CD" w:rsidRPr="04739D94">
              <w:rPr>
                <w:rStyle w:val="BodyTextChar"/>
                <w:sz w:val="20"/>
                <w:szCs w:val="20"/>
              </w:rPr>
              <w:t>as well as that required for</w:t>
            </w:r>
            <w:r w:rsidR="00BB3E8D" w:rsidRPr="04739D94">
              <w:rPr>
                <w:rStyle w:val="BodyTextChar"/>
                <w:sz w:val="20"/>
                <w:szCs w:val="20"/>
              </w:rPr>
              <w:t xml:space="preserve"> potential SRAS Providers</w:t>
            </w:r>
            <w:r w:rsidR="002D5147" w:rsidRPr="04739D94">
              <w:rPr>
                <w:rStyle w:val="BodyTextChar"/>
                <w:sz w:val="20"/>
                <w:szCs w:val="20"/>
              </w:rPr>
              <w:t xml:space="preserve">. The </w:t>
            </w:r>
            <w:r w:rsidR="00BB3E8D" w:rsidRPr="04739D94">
              <w:rPr>
                <w:rStyle w:val="BodyTextChar"/>
                <w:sz w:val="20"/>
                <w:szCs w:val="20"/>
              </w:rPr>
              <w:t xml:space="preserve">current </w:t>
            </w:r>
            <w:r w:rsidR="00F10167" w:rsidRPr="04739D94">
              <w:rPr>
                <w:rStyle w:val="BodyTextChar"/>
                <w:sz w:val="20"/>
                <w:szCs w:val="20"/>
              </w:rPr>
              <w:t>form of the Data S</w:t>
            </w:r>
            <w:r w:rsidR="00BB3E8D" w:rsidRPr="04739D94">
              <w:rPr>
                <w:rStyle w:val="BodyTextChar"/>
                <w:sz w:val="20"/>
                <w:szCs w:val="20"/>
              </w:rPr>
              <w:t>heets</w:t>
            </w:r>
            <w:r w:rsidR="002D5147" w:rsidRPr="04739D94">
              <w:rPr>
                <w:rStyle w:val="BodyTextChar"/>
                <w:sz w:val="20"/>
                <w:szCs w:val="20"/>
              </w:rPr>
              <w:t xml:space="preserve"> is</w:t>
            </w:r>
            <w:r w:rsidR="00BB3E8D" w:rsidRPr="04739D94">
              <w:rPr>
                <w:rStyle w:val="BodyTextChar"/>
                <w:sz w:val="20"/>
                <w:szCs w:val="20"/>
              </w:rPr>
              <w:t xml:space="preserve"> available at the link below</w:t>
            </w:r>
            <w:r w:rsidR="000472CD" w:rsidRPr="04739D94">
              <w:rPr>
                <w:rStyle w:val="BodyTextChar"/>
                <w:sz w:val="20"/>
                <w:szCs w:val="20"/>
              </w:rPr>
              <w:t>.</w:t>
            </w:r>
          </w:p>
          <w:p w14:paraId="40FE0F24" w14:textId="5DB82609" w:rsidR="005D1348" w:rsidRDefault="005D1348" w:rsidP="00F10167">
            <w:pPr>
              <w:rPr>
                <w:rStyle w:val="BodyTextChar"/>
                <w:sz w:val="20"/>
                <w:szCs w:val="20"/>
              </w:rPr>
            </w:pPr>
            <w:r>
              <w:rPr>
                <w:rStyle w:val="BodyTextChar"/>
                <w:sz w:val="20"/>
                <w:szCs w:val="20"/>
              </w:rPr>
              <w:t xml:space="preserve">Note that the Data Sheets have been recently updated. </w:t>
            </w:r>
          </w:p>
          <w:p w14:paraId="6B40F6C3" w14:textId="1859790A" w:rsidR="00E53644" w:rsidRPr="007D512F" w:rsidRDefault="002B6FE5" w:rsidP="00BB3E8D">
            <w:pPr>
              <w:rPr>
                <w:rStyle w:val="BodyTextChar"/>
                <w:sz w:val="20"/>
                <w:szCs w:val="20"/>
              </w:rPr>
            </w:pPr>
            <w:hyperlink r:id="rId13" w:history="1">
              <w:r w:rsidR="00BB3E8D" w:rsidRPr="00392711">
                <w:rPr>
                  <w:rStyle w:val="Hyperlink"/>
                  <w:rFonts w:ascii="Arial Narrow" w:hAnsi="Arial Narrow"/>
                  <w:sz w:val="20"/>
                </w:rPr>
                <w:t>https://aemo.com.au/en/energy-systems/electricity/national-electricity-market-nem/system-operations/ancillary-services/system-restart-ancillary-services-guideline</w:t>
              </w:r>
            </w:hyperlink>
          </w:p>
        </w:tc>
        <w:tc>
          <w:tcPr>
            <w:tcW w:w="4394" w:type="dxa"/>
          </w:tcPr>
          <w:p w14:paraId="211EA80A" w14:textId="7AEF3D62" w:rsidR="00E53644" w:rsidRPr="007D512F" w:rsidRDefault="00E53644" w:rsidP="00345AEC">
            <w:pPr>
              <w:rPr>
                <w:rStyle w:val="BodyTextChar"/>
                <w:sz w:val="20"/>
                <w:szCs w:val="20"/>
              </w:rPr>
            </w:pPr>
          </w:p>
        </w:tc>
      </w:tr>
    </w:tbl>
    <w:p w14:paraId="5B34F7CF" w14:textId="2414775E" w:rsidR="003A79C6" w:rsidRDefault="003A79C6">
      <w:pPr>
        <w:spacing w:before="0" w:after="0"/>
        <w:rPr>
          <w:b/>
          <w:highlight w:val="yellow"/>
        </w:rPr>
      </w:pPr>
    </w:p>
    <w:p w14:paraId="772F32E0" w14:textId="295E35BA" w:rsidR="00414252" w:rsidRPr="003A79C6" w:rsidRDefault="00414252" w:rsidP="0072709B">
      <w:pPr>
        <w:pStyle w:val="Heading2"/>
        <w:numPr>
          <w:ilvl w:val="6"/>
          <w:numId w:val="5"/>
        </w:numPr>
        <w:tabs>
          <w:tab w:val="clear" w:pos="3240"/>
          <w:tab w:val="num" w:pos="567"/>
        </w:tabs>
        <w:ind w:left="567" w:hanging="567"/>
      </w:pPr>
      <w:r w:rsidRPr="003A79C6">
        <w:t>Augmentation and Construction</w:t>
      </w:r>
      <w:r w:rsidR="005019AD">
        <w:t xml:space="preserve"> </w:t>
      </w:r>
    </w:p>
    <w:p w14:paraId="36A374E0" w14:textId="77777777" w:rsidR="00AE6BA3" w:rsidRDefault="00AE6BA3" w:rsidP="00414252">
      <w:pPr>
        <w:pStyle w:val="BodyText"/>
        <w:ind w:left="0"/>
      </w:pPr>
      <w:r>
        <w:t xml:space="preserve">Complete if required. </w:t>
      </w:r>
    </w:p>
    <w:p w14:paraId="68BFA313" w14:textId="5F41F5CF" w:rsidR="00414252" w:rsidRPr="003A79C6" w:rsidRDefault="00414252" w:rsidP="00414252">
      <w:pPr>
        <w:pStyle w:val="BodyText"/>
        <w:ind w:left="0"/>
      </w:pPr>
      <w:r w:rsidRPr="003A79C6">
        <w:t xml:space="preserve">The </w:t>
      </w:r>
      <w:r w:rsidRPr="003A79C6">
        <w:rPr>
          <w:i/>
        </w:rPr>
        <w:t>system restart ancillary service</w:t>
      </w:r>
      <w:r w:rsidRPr="003A79C6">
        <w:t xml:space="preserve"> will be provided based on the </w:t>
      </w:r>
      <w:r w:rsidR="00AD1709">
        <w:t xml:space="preserve">Augmentation and/or construction </w:t>
      </w:r>
      <w:r w:rsidRPr="003A79C6">
        <w:t>as described below:</w:t>
      </w:r>
    </w:p>
    <w:tbl>
      <w:tblPr>
        <w:tblStyle w:val="TableGrid"/>
        <w:tblW w:w="9185" w:type="dxa"/>
        <w:tblInd w:w="-5" w:type="dxa"/>
        <w:tblLayout w:type="fixed"/>
        <w:tblLook w:val="01A0" w:firstRow="1" w:lastRow="0" w:firstColumn="1" w:lastColumn="1" w:noHBand="0" w:noVBand="0"/>
      </w:tblPr>
      <w:tblGrid>
        <w:gridCol w:w="2835"/>
        <w:gridCol w:w="6350"/>
      </w:tblGrid>
      <w:tr w:rsidR="00104073" w:rsidRPr="003A79C6" w14:paraId="2D1FF8C4" w14:textId="77777777" w:rsidTr="00F4058F">
        <w:tc>
          <w:tcPr>
            <w:tcW w:w="2835" w:type="dxa"/>
            <w:shd w:val="clear" w:color="auto" w:fill="auto"/>
            <w:vAlign w:val="center"/>
          </w:tcPr>
          <w:p w14:paraId="0052CB44" w14:textId="744241C5" w:rsidR="00104073" w:rsidRPr="00613382" w:rsidRDefault="00D164B6" w:rsidP="00F4058F">
            <w:pPr>
              <w:pStyle w:val="TableText"/>
              <w:rPr>
                <w:b/>
              </w:rPr>
            </w:pPr>
            <w:r>
              <w:rPr>
                <w:b/>
              </w:rPr>
              <w:t>S</w:t>
            </w:r>
            <w:r w:rsidR="00EB2042">
              <w:rPr>
                <w:b/>
              </w:rPr>
              <w:t>ummary</w:t>
            </w:r>
          </w:p>
        </w:tc>
        <w:tc>
          <w:tcPr>
            <w:tcW w:w="6350" w:type="dxa"/>
            <w:shd w:val="clear" w:color="auto" w:fill="auto"/>
          </w:tcPr>
          <w:p w14:paraId="034C9C97" w14:textId="0FC1F252" w:rsidR="00104073" w:rsidRPr="00613382" w:rsidRDefault="00D164B6" w:rsidP="00F4058F">
            <w:pPr>
              <w:pStyle w:val="TableText"/>
            </w:pPr>
            <w:r>
              <w:t xml:space="preserve">Please provide a summary of the proposed </w:t>
            </w:r>
            <w:r w:rsidR="005019AD">
              <w:t xml:space="preserve">project scope. </w:t>
            </w:r>
          </w:p>
        </w:tc>
      </w:tr>
      <w:tr w:rsidR="00414252" w:rsidRPr="003A79C6" w14:paraId="00F91331" w14:textId="77777777" w:rsidTr="00F4058F">
        <w:tc>
          <w:tcPr>
            <w:tcW w:w="2835" w:type="dxa"/>
            <w:shd w:val="clear" w:color="auto" w:fill="auto"/>
            <w:vAlign w:val="center"/>
          </w:tcPr>
          <w:p w14:paraId="1ADFF8BB" w14:textId="4820D314" w:rsidR="00414252" w:rsidRPr="00613382" w:rsidRDefault="00414252" w:rsidP="00F4058F">
            <w:pPr>
              <w:pStyle w:val="TableText"/>
              <w:rPr>
                <w:b/>
              </w:rPr>
            </w:pPr>
            <w:r w:rsidRPr="00613382">
              <w:rPr>
                <w:b/>
              </w:rPr>
              <w:t>Construction/</w:t>
            </w:r>
            <w:r w:rsidR="00546225" w:rsidRPr="00613382">
              <w:rPr>
                <w:b/>
              </w:rPr>
              <w:t>augmentation</w:t>
            </w:r>
            <w:r w:rsidRPr="00613382">
              <w:rPr>
                <w:b/>
              </w:rPr>
              <w:t xml:space="preserve"> </w:t>
            </w:r>
            <w:r w:rsidR="000C76DB" w:rsidRPr="00613382">
              <w:rPr>
                <w:b/>
              </w:rPr>
              <w:t>schedule</w:t>
            </w:r>
          </w:p>
        </w:tc>
        <w:tc>
          <w:tcPr>
            <w:tcW w:w="6350" w:type="dxa"/>
            <w:shd w:val="clear" w:color="auto" w:fill="auto"/>
          </w:tcPr>
          <w:p w14:paraId="1D55D5D5" w14:textId="6BABF2C5" w:rsidR="00E82B45" w:rsidRPr="00613382" w:rsidRDefault="00265CC3" w:rsidP="00F4058F">
            <w:pPr>
              <w:pStyle w:val="TableText"/>
            </w:pPr>
            <w:r>
              <w:t>Please provide a</w:t>
            </w:r>
            <w:r w:rsidR="009205FD">
              <w:t>ttached a</w:t>
            </w:r>
            <w:r>
              <w:t xml:space="preserve"> detailed schedule from financial/contract close to operation start.  </w:t>
            </w:r>
          </w:p>
        </w:tc>
      </w:tr>
      <w:tr w:rsidR="00414252" w:rsidRPr="003A79C6" w14:paraId="5B5732CE" w14:textId="77777777" w:rsidTr="00F4058F">
        <w:tc>
          <w:tcPr>
            <w:tcW w:w="2835" w:type="dxa"/>
            <w:shd w:val="clear" w:color="auto" w:fill="auto"/>
            <w:vAlign w:val="center"/>
          </w:tcPr>
          <w:p w14:paraId="6E61E4DD" w14:textId="69CB77AC" w:rsidR="00414252" w:rsidRPr="003A79C6" w:rsidRDefault="00104073" w:rsidP="00F4058F">
            <w:pPr>
              <w:pStyle w:val="TableText"/>
              <w:rPr>
                <w:b/>
              </w:rPr>
            </w:pPr>
            <w:r w:rsidRPr="00613382">
              <w:rPr>
                <w:b/>
              </w:rPr>
              <w:t xml:space="preserve">Project partners, EPC, OEMs etc. </w:t>
            </w:r>
          </w:p>
        </w:tc>
        <w:tc>
          <w:tcPr>
            <w:tcW w:w="6350" w:type="dxa"/>
            <w:shd w:val="clear" w:color="auto" w:fill="auto"/>
          </w:tcPr>
          <w:p w14:paraId="3C95D69E" w14:textId="77777777" w:rsidR="00414252" w:rsidRPr="003A79C6" w:rsidRDefault="00414252" w:rsidP="00F4058F">
            <w:pPr>
              <w:pStyle w:val="TableText"/>
            </w:pPr>
          </w:p>
        </w:tc>
      </w:tr>
      <w:tr w:rsidR="00414252" w:rsidRPr="003A79C6" w14:paraId="6F006BB9" w14:textId="77777777" w:rsidTr="00F4058F">
        <w:tblPrEx>
          <w:tblLook w:val="04A0" w:firstRow="1" w:lastRow="0" w:firstColumn="1" w:lastColumn="0" w:noHBand="0" w:noVBand="1"/>
        </w:tblPrEx>
        <w:trPr>
          <w:trHeight w:val="159"/>
        </w:trPr>
        <w:tc>
          <w:tcPr>
            <w:tcW w:w="2835" w:type="dxa"/>
            <w:vMerge w:val="restart"/>
          </w:tcPr>
          <w:p w14:paraId="3B44E6A6" w14:textId="7DB94069" w:rsidR="00414252" w:rsidRPr="003A79C6" w:rsidRDefault="00414252" w:rsidP="00F4058F">
            <w:pPr>
              <w:spacing w:line="360" w:lineRule="auto"/>
              <w:rPr>
                <w:rFonts w:ascii="Arial Narrow" w:hAnsi="Arial Narrow" w:cs="Arial"/>
                <w:b/>
                <w:sz w:val="20"/>
              </w:rPr>
            </w:pPr>
            <w:r w:rsidRPr="003A79C6">
              <w:rPr>
                <w:rFonts w:ascii="Arial Narrow" w:hAnsi="Arial Narrow" w:cs="Arial"/>
                <w:b/>
                <w:sz w:val="20"/>
              </w:rPr>
              <w:t xml:space="preserve">SRAS Equipment to be constructed </w:t>
            </w:r>
          </w:p>
        </w:tc>
        <w:tc>
          <w:tcPr>
            <w:tcW w:w="6350" w:type="dxa"/>
          </w:tcPr>
          <w:p w14:paraId="5D5131AA" w14:textId="77777777" w:rsidR="00414252" w:rsidRPr="003A79C6" w:rsidRDefault="00414252" w:rsidP="00F4058F">
            <w:pPr>
              <w:rPr>
                <w:rFonts w:ascii="Arial Narrow" w:hAnsi="Arial Narrow"/>
                <w:sz w:val="20"/>
              </w:rPr>
            </w:pPr>
            <w:r w:rsidRPr="003A79C6">
              <w:rPr>
                <w:rFonts w:ascii="Arial Narrow" w:hAnsi="Arial Narrow"/>
                <w:sz w:val="20"/>
              </w:rPr>
              <w:t xml:space="preserve">Major components: </w:t>
            </w:r>
          </w:p>
          <w:p w14:paraId="0EEB2BEA" w14:textId="77777777" w:rsidR="00414252" w:rsidRPr="003A79C6" w:rsidRDefault="00414252" w:rsidP="00F4058F">
            <w:pPr>
              <w:rPr>
                <w:rFonts w:ascii="Arial Narrow" w:hAnsi="Arial Narrow"/>
                <w:sz w:val="20"/>
              </w:rPr>
            </w:pPr>
          </w:p>
        </w:tc>
      </w:tr>
      <w:tr w:rsidR="00414252" w:rsidRPr="003A79C6" w14:paraId="0E4BD565" w14:textId="77777777" w:rsidTr="00F4058F">
        <w:tblPrEx>
          <w:tblLook w:val="04A0" w:firstRow="1" w:lastRow="0" w:firstColumn="1" w:lastColumn="0" w:noHBand="0" w:noVBand="1"/>
        </w:tblPrEx>
        <w:trPr>
          <w:trHeight w:val="158"/>
        </w:trPr>
        <w:tc>
          <w:tcPr>
            <w:tcW w:w="2835" w:type="dxa"/>
            <w:vMerge/>
          </w:tcPr>
          <w:p w14:paraId="7E318F7D" w14:textId="77777777" w:rsidR="00414252" w:rsidRPr="003A79C6" w:rsidRDefault="00414252" w:rsidP="00F4058F">
            <w:pPr>
              <w:spacing w:line="360" w:lineRule="auto"/>
              <w:rPr>
                <w:rFonts w:ascii="Arial Narrow" w:hAnsi="Arial Narrow" w:cs="Arial"/>
                <w:b/>
                <w:sz w:val="20"/>
              </w:rPr>
            </w:pPr>
          </w:p>
        </w:tc>
        <w:tc>
          <w:tcPr>
            <w:tcW w:w="6350" w:type="dxa"/>
          </w:tcPr>
          <w:p w14:paraId="4E5AB535" w14:textId="77777777" w:rsidR="00414252" w:rsidRPr="003A79C6" w:rsidRDefault="00414252" w:rsidP="00F4058F">
            <w:pPr>
              <w:rPr>
                <w:rFonts w:ascii="Arial Narrow" w:hAnsi="Arial Narrow"/>
                <w:sz w:val="20"/>
              </w:rPr>
            </w:pPr>
            <w:r w:rsidRPr="003A79C6">
              <w:rPr>
                <w:rFonts w:ascii="Arial Narrow" w:hAnsi="Arial Narrow"/>
                <w:sz w:val="20"/>
              </w:rPr>
              <w:t>Other components:</w:t>
            </w:r>
          </w:p>
          <w:p w14:paraId="08E68368" w14:textId="77777777" w:rsidR="00414252" w:rsidRPr="003A79C6" w:rsidRDefault="00414252" w:rsidP="00F4058F">
            <w:pPr>
              <w:rPr>
                <w:rFonts w:ascii="Arial Narrow" w:hAnsi="Arial Narrow"/>
                <w:sz w:val="20"/>
              </w:rPr>
            </w:pPr>
          </w:p>
        </w:tc>
      </w:tr>
      <w:tr w:rsidR="00414252" w:rsidRPr="003A79C6" w14:paraId="6BA6F613" w14:textId="77777777" w:rsidTr="00F4058F">
        <w:tblPrEx>
          <w:tblLook w:val="04A0" w:firstRow="1" w:lastRow="0" w:firstColumn="1" w:lastColumn="0" w:noHBand="0" w:noVBand="1"/>
        </w:tblPrEx>
        <w:trPr>
          <w:trHeight w:val="158"/>
        </w:trPr>
        <w:tc>
          <w:tcPr>
            <w:tcW w:w="2835" w:type="dxa"/>
            <w:vMerge/>
          </w:tcPr>
          <w:p w14:paraId="0E464867" w14:textId="77777777" w:rsidR="00414252" w:rsidRPr="003A79C6" w:rsidRDefault="00414252" w:rsidP="00F4058F">
            <w:pPr>
              <w:spacing w:line="360" w:lineRule="auto"/>
              <w:rPr>
                <w:rFonts w:ascii="Arial Narrow" w:hAnsi="Arial Narrow" w:cs="Arial"/>
                <w:b/>
                <w:sz w:val="20"/>
              </w:rPr>
            </w:pPr>
          </w:p>
        </w:tc>
        <w:tc>
          <w:tcPr>
            <w:tcW w:w="6350" w:type="dxa"/>
          </w:tcPr>
          <w:p w14:paraId="3954608C" w14:textId="77777777" w:rsidR="00414252" w:rsidRPr="003A79C6" w:rsidRDefault="00414252" w:rsidP="00F4058F">
            <w:pPr>
              <w:rPr>
                <w:rFonts w:ascii="Arial Narrow" w:hAnsi="Arial Narrow"/>
                <w:sz w:val="20"/>
              </w:rPr>
            </w:pPr>
            <w:r w:rsidRPr="003A79C6">
              <w:rPr>
                <w:rFonts w:ascii="Arial Narrow" w:hAnsi="Arial Narrow"/>
                <w:sz w:val="20"/>
              </w:rPr>
              <w:t>SRAS Third Party Assets:</w:t>
            </w:r>
          </w:p>
          <w:p w14:paraId="7508BF7C" w14:textId="77777777" w:rsidR="00414252" w:rsidRPr="003A79C6" w:rsidRDefault="00414252" w:rsidP="00F4058F">
            <w:pPr>
              <w:rPr>
                <w:rFonts w:ascii="Arial Narrow" w:hAnsi="Arial Narrow"/>
                <w:sz w:val="20"/>
              </w:rPr>
            </w:pPr>
          </w:p>
        </w:tc>
      </w:tr>
      <w:tr w:rsidR="003A79C6" w:rsidRPr="003A79C6" w14:paraId="21BAC569" w14:textId="77777777" w:rsidTr="00F4058F">
        <w:tblPrEx>
          <w:tblLook w:val="04A0" w:firstRow="1" w:lastRow="0" w:firstColumn="1" w:lastColumn="0" w:noHBand="0" w:noVBand="1"/>
        </w:tblPrEx>
        <w:tc>
          <w:tcPr>
            <w:tcW w:w="2835" w:type="dxa"/>
          </w:tcPr>
          <w:p w14:paraId="0E2EEC14" w14:textId="24B4EF73" w:rsidR="003A79C6" w:rsidRPr="00613382" w:rsidRDefault="003A79C6" w:rsidP="00F4058F">
            <w:pPr>
              <w:spacing w:after="0" w:line="360" w:lineRule="auto"/>
              <w:rPr>
                <w:rFonts w:ascii="Arial Narrow" w:hAnsi="Arial Narrow" w:cs="Arial"/>
                <w:b/>
                <w:sz w:val="20"/>
              </w:rPr>
            </w:pPr>
            <w:r w:rsidRPr="00613382">
              <w:rPr>
                <w:rFonts w:ascii="Arial Narrow" w:hAnsi="Arial Narrow" w:cs="Arial"/>
                <w:b/>
                <w:sz w:val="20"/>
              </w:rPr>
              <w:t xml:space="preserve">Control </w:t>
            </w:r>
            <w:r w:rsidR="00761495">
              <w:rPr>
                <w:rFonts w:ascii="Arial Narrow" w:hAnsi="Arial Narrow" w:cs="Arial"/>
                <w:b/>
                <w:sz w:val="20"/>
              </w:rPr>
              <w:t>s</w:t>
            </w:r>
            <w:r w:rsidRPr="00613382">
              <w:rPr>
                <w:rFonts w:ascii="Arial Narrow" w:hAnsi="Arial Narrow" w:cs="Arial"/>
                <w:b/>
                <w:sz w:val="20"/>
              </w:rPr>
              <w:t>ystem upgrades required</w:t>
            </w:r>
          </w:p>
        </w:tc>
        <w:tc>
          <w:tcPr>
            <w:tcW w:w="6350" w:type="dxa"/>
          </w:tcPr>
          <w:p w14:paraId="39237E8D" w14:textId="77777777" w:rsidR="003A79C6" w:rsidRPr="003A79C6" w:rsidRDefault="003A79C6" w:rsidP="00F4058F">
            <w:pPr>
              <w:spacing w:after="0" w:line="360" w:lineRule="auto"/>
              <w:rPr>
                <w:rFonts w:cs="Arial"/>
                <w:sz w:val="20"/>
              </w:rPr>
            </w:pPr>
          </w:p>
        </w:tc>
      </w:tr>
      <w:tr w:rsidR="00414252" w:rsidRPr="00F943E1" w14:paraId="7C0CB2B2" w14:textId="77777777" w:rsidTr="00F4058F">
        <w:tblPrEx>
          <w:tblLook w:val="04A0" w:firstRow="1" w:lastRow="0" w:firstColumn="1" w:lastColumn="0" w:noHBand="0" w:noVBand="1"/>
        </w:tblPrEx>
        <w:tc>
          <w:tcPr>
            <w:tcW w:w="2835" w:type="dxa"/>
          </w:tcPr>
          <w:p w14:paraId="7F3B24D2" w14:textId="4CD3C36B" w:rsidR="00414252" w:rsidRPr="00BA4229" w:rsidRDefault="00414252" w:rsidP="00F4058F">
            <w:pPr>
              <w:spacing w:after="0" w:line="360" w:lineRule="auto"/>
              <w:rPr>
                <w:rFonts w:ascii="Arial Narrow" w:hAnsi="Arial Narrow" w:cs="Arial"/>
                <w:sz w:val="20"/>
              </w:rPr>
            </w:pPr>
            <w:r w:rsidRPr="003A79C6">
              <w:rPr>
                <w:rFonts w:ascii="Arial Narrow" w:hAnsi="Arial Narrow" w:cs="Arial"/>
                <w:b/>
                <w:sz w:val="20"/>
              </w:rPr>
              <w:t xml:space="preserve">Network </w:t>
            </w:r>
            <w:r w:rsidR="002C1640">
              <w:rPr>
                <w:rFonts w:ascii="Arial Narrow" w:hAnsi="Arial Narrow" w:cs="Arial"/>
                <w:b/>
                <w:sz w:val="20"/>
              </w:rPr>
              <w:t>upgrades required</w:t>
            </w:r>
          </w:p>
        </w:tc>
        <w:tc>
          <w:tcPr>
            <w:tcW w:w="6350" w:type="dxa"/>
          </w:tcPr>
          <w:p w14:paraId="1B00781D" w14:textId="77777777" w:rsidR="00414252" w:rsidRPr="00F943E1" w:rsidRDefault="00414252" w:rsidP="00F4058F">
            <w:pPr>
              <w:spacing w:after="0" w:line="360" w:lineRule="auto"/>
              <w:rPr>
                <w:rFonts w:cs="Arial"/>
                <w:sz w:val="20"/>
              </w:rPr>
            </w:pPr>
          </w:p>
        </w:tc>
      </w:tr>
      <w:tr w:rsidR="00472085" w:rsidRPr="00F943E1" w14:paraId="6292BFF1" w14:textId="77777777" w:rsidTr="00F4058F">
        <w:tblPrEx>
          <w:tblLook w:val="04A0" w:firstRow="1" w:lastRow="0" w:firstColumn="1" w:lastColumn="0" w:noHBand="0" w:noVBand="1"/>
        </w:tblPrEx>
        <w:tc>
          <w:tcPr>
            <w:tcW w:w="2835" w:type="dxa"/>
          </w:tcPr>
          <w:p w14:paraId="594010D2" w14:textId="6481EFD5" w:rsidR="00472085" w:rsidRDefault="00A8025C" w:rsidP="00F4058F">
            <w:pPr>
              <w:spacing w:after="0" w:line="360" w:lineRule="auto"/>
              <w:rPr>
                <w:rFonts w:ascii="Arial Narrow" w:hAnsi="Arial Narrow" w:cs="Arial"/>
                <w:b/>
                <w:sz w:val="20"/>
              </w:rPr>
            </w:pPr>
            <w:r>
              <w:rPr>
                <w:rFonts w:ascii="Arial Narrow" w:hAnsi="Arial Narrow" w:cs="Arial"/>
                <w:b/>
                <w:sz w:val="20"/>
              </w:rPr>
              <w:t xml:space="preserve">Communication </w:t>
            </w:r>
            <w:r w:rsidR="002B0FFB">
              <w:rPr>
                <w:rFonts w:ascii="Arial Narrow" w:hAnsi="Arial Narrow" w:cs="Arial"/>
                <w:b/>
                <w:sz w:val="20"/>
              </w:rPr>
              <w:t>upgrades required</w:t>
            </w:r>
          </w:p>
          <w:p w14:paraId="5EBA8C8F" w14:textId="07527B25" w:rsidR="009712BF" w:rsidRPr="00613382" w:rsidRDefault="009712BF" w:rsidP="00F4058F">
            <w:pPr>
              <w:spacing w:after="0" w:line="360" w:lineRule="auto"/>
              <w:rPr>
                <w:rFonts w:ascii="Arial Narrow" w:hAnsi="Arial Narrow" w:cs="Arial"/>
                <w:bCs/>
                <w:sz w:val="20"/>
              </w:rPr>
            </w:pPr>
            <w:r w:rsidRPr="00613382">
              <w:rPr>
                <w:rFonts w:ascii="Arial Narrow" w:hAnsi="Arial Narrow" w:cs="Arial"/>
                <w:bCs/>
                <w:sz w:val="20"/>
              </w:rPr>
              <w:t xml:space="preserve">Refer to </w:t>
            </w:r>
            <w:r w:rsidR="00056696">
              <w:rPr>
                <w:rFonts w:ascii="Arial Narrow" w:hAnsi="Arial Narrow" w:cs="Arial"/>
                <w:bCs/>
                <w:sz w:val="20"/>
              </w:rPr>
              <w:t>AEMOs SRAS</w:t>
            </w:r>
            <w:r w:rsidRPr="00613382">
              <w:rPr>
                <w:rFonts w:ascii="Arial Narrow" w:hAnsi="Arial Narrow" w:cs="Arial"/>
                <w:bCs/>
                <w:sz w:val="20"/>
              </w:rPr>
              <w:t xml:space="preserve"> communication </w:t>
            </w:r>
            <w:r w:rsidR="00056696">
              <w:rPr>
                <w:rFonts w:ascii="Arial Narrow" w:hAnsi="Arial Narrow" w:cs="Arial"/>
                <w:bCs/>
                <w:sz w:val="20"/>
              </w:rPr>
              <w:t>protocol</w:t>
            </w:r>
          </w:p>
          <w:p w14:paraId="5D6C3216" w14:textId="5BABF550" w:rsidR="009712BF" w:rsidRPr="00613382" w:rsidRDefault="002B6FE5" w:rsidP="00F4058F">
            <w:pPr>
              <w:spacing w:after="0" w:line="360" w:lineRule="auto"/>
              <w:rPr>
                <w:rFonts w:ascii="Arial Narrow" w:hAnsi="Arial Narrow" w:cs="Arial"/>
                <w:bCs/>
                <w:sz w:val="20"/>
              </w:rPr>
            </w:pPr>
            <w:hyperlink r:id="rId14" w:history="1">
              <w:r w:rsidR="009712BF" w:rsidRPr="00613382">
                <w:rPr>
                  <w:rStyle w:val="Hyperlink"/>
                  <w:rFonts w:ascii="Arial Narrow" w:hAnsi="Arial Narrow" w:cs="Arial"/>
                  <w:bCs/>
                  <w:sz w:val="20"/>
                </w:rPr>
                <w:t>https://aemo.com.au/-/media/files/stakeholder_consultation/consultations/nem-consultations/2019/lbsp-amendments/system-restart-communications-protocol.pdf?la=en</w:t>
              </w:r>
            </w:hyperlink>
          </w:p>
        </w:tc>
        <w:tc>
          <w:tcPr>
            <w:tcW w:w="6350" w:type="dxa"/>
          </w:tcPr>
          <w:p w14:paraId="1ACA6BB5" w14:textId="77777777" w:rsidR="00472085" w:rsidRPr="00F943E1" w:rsidRDefault="00472085" w:rsidP="00F4058F">
            <w:pPr>
              <w:spacing w:after="0" w:line="360" w:lineRule="auto"/>
              <w:rPr>
                <w:rFonts w:cs="Arial"/>
                <w:sz w:val="20"/>
              </w:rPr>
            </w:pPr>
          </w:p>
        </w:tc>
      </w:tr>
      <w:tr w:rsidR="0081720A" w:rsidRPr="00F943E1" w14:paraId="74E20C0F" w14:textId="77777777" w:rsidTr="00F4058F">
        <w:tblPrEx>
          <w:tblLook w:val="04A0" w:firstRow="1" w:lastRow="0" w:firstColumn="1" w:lastColumn="0" w:noHBand="0" w:noVBand="1"/>
        </w:tblPrEx>
        <w:tc>
          <w:tcPr>
            <w:tcW w:w="2835" w:type="dxa"/>
          </w:tcPr>
          <w:p w14:paraId="52C8B633" w14:textId="2E4E93D0" w:rsidR="0081720A" w:rsidRPr="003A79C6" w:rsidRDefault="00844D9C" w:rsidP="00F4058F">
            <w:pPr>
              <w:spacing w:after="0" w:line="360" w:lineRule="auto"/>
              <w:rPr>
                <w:rFonts w:ascii="Arial Narrow" w:hAnsi="Arial Narrow" w:cs="Arial"/>
                <w:b/>
                <w:sz w:val="20"/>
              </w:rPr>
            </w:pPr>
            <w:r w:rsidRPr="00613382">
              <w:rPr>
                <w:rFonts w:ascii="Arial Narrow" w:hAnsi="Arial Narrow" w:cs="Arial"/>
                <w:b/>
                <w:sz w:val="20"/>
              </w:rPr>
              <w:t>Construction/</w:t>
            </w:r>
            <w:r w:rsidR="00546225" w:rsidRPr="00613382">
              <w:rPr>
                <w:rFonts w:ascii="Arial Narrow" w:hAnsi="Arial Narrow" w:cs="Arial"/>
                <w:b/>
                <w:sz w:val="20"/>
              </w:rPr>
              <w:t>augmentation</w:t>
            </w:r>
            <w:r w:rsidRPr="00613382">
              <w:rPr>
                <w:rFonts w:ascii="Arial Narrow" w:hAnsi="Arial Narrow" w:cs="Arial"/>
                <w:b/>
                <w:sz w:val="20"/>
              </w:rPr>
              <w:t xml:space="preserve"> </w:t>
            </w:r>
            <w:r>
              <w:rPr>
                <w:rFonts w:ascii="Arial Narrow" w:hAnsi="Arial Narrow" w:cs="Arial"/>
                <w:b/>
                <w:sz w:val="20"/>
              </w:rPr>
              <w:t>risks</w:t>
            </w:r>
          </w:p>
        </w:tc>
        <w:tc>
          <w:tcPr>
            <w:tcW w:w="6350" w:type="dxa"/>
          </w:tcPr>
          <w:p w14:paraId="7902A0DC" w14:textId="0F2B483D" w:rsidR="0081720A" w:rsidRPr="00F943E1" w:rsidRDefault="009205FD" w:rsidP="00613382">
            <w:pPr>
              <w:pStyle w:val="TableText"/>
            </w:pPr>
            <w:r>
              <w:t xml:space="preserve">Please provide attached a project risk assessment. </w:t>
            </w:r>
          </w:p>
        </w:tc>
      </w:tr>
    </w:tbl>
    <w:p w14:paraId="588F65C9" w14:textId="77777777" w:rsidR="002744CA" w:rsidRDefault="002744CA" w:rsidP="00345AEC">
      <w:pPr>
        <w:ind w:left="709"/>
        <w:rPr>
          <w:rStyle w:val="BodyTextChar"/>
        </w:rPr>
        <w:sectPr w:rsidR="002744CA" w:rsidSect="0064064B">
          <w:headerReference w:type="default" r:id="rId15"/>
          <w:footerReference w:type="default" r:id="rId16"/>
          <w:pgSz w:w="11907" w:h="16840" w:code="9"/>
          <w:pgMar w:top="1440" w:right="1418" w:bottom="1440" w:left="1418" w:header="720" w:footer="680" w:gutter="0"/>
          <w:pgNumType w:start="2"/>
          <w:cols w:space="720"/>
          <w:docGrid w:linePitch="360"/>
        </w:sectPr>
      </w:pPr>
    </w:p>
    <w:p w14:paraId="4AAC3703" w14:textId="454E7370" w:rsidR="002744CA" w:rsidRDefault="009D50F6" w:rsidP="000A5F24">
      <w:pPr>
        <w:ind w:left="709"/>
        <w:rPr>
          <w:rStyle w:val="BodyTextChar"/>
          <w:b/>
        </w:rPr>
      </w:pPr>
      <w:r w:rsidRPr="009D50F6">
        <w:rPr>
          <w:rStyle w:val="BodyTextChar"/>
          <w:noProof/>
          <w:lang w:eastAsia="en-AU"/>
        </w:rPr>
        <w:lastRenderedPageBreak/>
        <mc:AlternateContent>
          <mc:Choice Requires="wps">
            <w:drawing>
              <wp:anchor distT="45720" distB="45720" distL="114300" distR="114300" simplePos="0" relativeHeight="251658240" behindDoc="0" locked="0" layoutInCell="1" allowOverlap="1" wp14:anchorId="40F5109F" wp14:editId="1FD2DDA2">
                <wp:simplePos x="0" y="0"/>
                <wp:positionH relativeFrom="margin">
                  <wp:align>left</wp:align>
                </wp:positionH>
                <wp:positionV relativeFrom="paragraph">
                  <wp:posOffset>220133</wp:posOffset>
                </wp:positionV>
                <wp:extent cx="8702675" cy="4977130"/>
                <wp:effectExtent l="0" t="0" r="22225" b="1397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02703" cy="4977516"/>
                        </a:xfrm>
                        <a:prstGeom prst="rect">
                          <a:avLst/>
                        </a:prstGeom>
                        <a:solidFill>
                          <a:srgbClr val="FFFFFF"/>
                        </a:solidFill>
                        <a:ln w="9525">
                          <a:solidFill>
                            <a:srgbClr val="000000"/>
                          </a:solidFill>
                          <a:miter lim="800000"/>
                          <a:headEnd/>
                          <a:tailEnd/>
                        </a:ln>
                      </wps:spPr>
                      <wps:txbx>
                        <w:txbxContent>
                          <w:p w14:paraId="713D5081" w14:textId="262612B7" w:rsidR="00BE7A15" w:rsidRDefault="003579D1">
                            <w:r>
                              <w:object w:dxaOrig="16563" w:dyaOrig="9454" w14:anchorId="50F2A7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5.85pt;height:379.6pt">
                                  <v:imagedata r:id="rId17" o:title=""/>
                                </v:shape>
                                <o:OLEObject Type="Embed" ProgID="Visio.Drawing.15" ShapeID="_x0000_i1025" DrawAspect="Content" ObjectID="_1744609939" r:id="rId18"/>
                              </w:objec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0F5109F" id="_x0000_t202" coordsize="21600,21600" o:spt="202" path="m,l,21600r21600,l21600,xe">
                <v:stroke joinstyle="miter"/>
                <v:path gradientshapeok="t" o:connecttype="rect"/>
              </v:shapetype>
              <v:shape id="Text Box 1" o:spid="_x0000_s1026" type="#_x0000_t202" style="position:absolute;left:0;text-align:left;margin-left:0;margin-top:17.35pt;width:685.25pt;height:391.9pt;z-index:251658240;visibility:visible;mso-wrap-style:non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">
                <v:textbox style="mso-fit-shape-to-text:t">
                  <w:txbxContent>
                    <w:p w14:paraId="713D5081" w14:textId="262612B7" w:rsidR="00BE7A15" w:rsidRDefault="003579D1">
                      <w:r>
                        <w:object w:dxaOrig="16563" w:dyaOrig="9454" w14:anchorId="50F2A702">
                          <v:shape id="_x0000_i1025" type="#_x0000_t75" style="width:665.85pt;height:379.6pt">
                            <v:imagedata r:id="rId17" o:title=""/>
                          </v:shape>
                          <o:OLEObject Type="Embed" ProgID="Visio.Drawing.15" ShapeID="_x0000_i1025" DrawAspect="Content" ObjectID="_1744609939" r:id="rId19"/>
                        </w:object>
                      </w:r>
                    </w:p>
                  </w:txbxContent>
                </v:textbox>
                <w10:wrap type="square" anchorx="margin"/>
              </v:shape>
            </w:pict>
          </mc:Fallback>
        </mc:AlternateContent>
      </w:r>
      <w:r w:rsidR="002744CA">
        <w:rPr>
          <w:rStyle w:val="BodyTextChar"/>
        </w:rPr>
        <w:t>Appendix A to S</w:t>
      </w:r>
      <w:r w:rsidR="00A11A3E">
        <w:rPr>
          <w:rStyle w:val="BodyTextChar"/>
        </w:rPr>
        <w:t>chedule</w:t>
      </w:r>
      <w:r w:rsidR="002744CA">
        <w:rPr>
          <w:rStyle w:val="BodyTextChar"/>
        </w:rPr>
        <w:t xml:space="preserve"> 2</w:t>
      </w:r>
    </w:p>
    <w:p w14:paraId="6E857B8D" w14:textId="77777777" w:rsidR="002744CA" w:rsidRDefault="002744CA" w:rsidP="00345AEC">
      <w:pPr>
        <w:ind w:left="709"/>
        <w:rPr>
          <w:rStyle w:val="BodyTextChar"/>
        </w:rPr>
      </w:pPr>
    </w:p>
    <w:p w14:paraId="4BC73978" w14:textId="588E84B2" w:rsidR="00354427" w:rsidRDefault="00354427" w:rsidP="00345AEC">
      <w:pPr>
        <w:ind w:left="709"/>
        <w:rPr>
          <w:rStyle w:val="BodyTextChar"/>
        </w:rPr>
        <w:sectPr w:rsidR="00354427" w:rsidSect="00D91AD5">
          <w:pgSz w:w="16840" w:h="11907" w:orient="landscape" w:code="9"/>
          <w:pgMar w:top="1418" w:right="1440" w:bottom="1418" w:left="1440" w:header="720" w:footer="680" w:gutter="0"/>
          <w:cols w:space="720"/>
          <w:docGrid w:linePitch="360"/>
        </w:sectPr>
      </w:pPr>
    </w:p>
    <w:p w14:paraId="34F48018" w14:textId="77777777" w:rsidR="00B0763D" w:rsidRPr="009F3F1B" w:rsidRDefault="00B0763D" w:rsidP="00A86692">
      <w:pPr>
        <w:pStyle w:val="ITTScheduleHeading1"/>
        <w:shd w:val="clear" w:color="auto" w:fill="auto"/>
        <w:rPr>
          <w:rFonts w:ascii="Arial Narrow" w:hAnsi="Arial Narrow"/>
          <w:sz w:val="30"/>
          <w:szCs w:val="30"/>
        </w:rPr>
      </w:pPr>
      <w:bookmarkStart w:id="29" w:name="_Toc133844115"/>
      <w:r w:rsidRPr="009F3F1B">
        <w:rPr>
          <w:rFonts w:ascii="Arial Narrow" w:hAnsi="Arial Narrow"/>
          <w:sz w:val="30"/>
          <w:szCs w:val="30"/>
        </w:rPr>
        <w:lastRenderedPageBreak/>
        <w:t>SCHEDULE</w:t>
      </w:r>
      <w:r w:rsidR="00C76B2E" w:rsidRPr="009F3F1B">
        <w:rPr>
          <w:rFonts w:ascii="Arial Narrow" w:hAnsi="Arial Narrow"/>
          <w:sz w:val="30"/>
          <w:szCs w:val="30"/>
        </w:rPr>
        <w:t xml:space="preserve"> </w:t>
      </w:r>
      <w:bookmarkEnd w:id="27"/>
      <w:bookmarkEnd w:id="28"/>
      <w:r w:rsidR="00A853CA" w:rsidRPr="009F3F1B">
        <w:rPr>
          <w:rFonts w:ascii="Arial Narrow" w:hAnsi="Arial Narrow"/>
          <w:sz w:val="30"/>
          <w:szCs w:val="30"/>
        </w:rPr>
        <w:t>3</w:t>
      </w:r>
      <w:bookmarkEnd w:id="29"/>
    </w:p>
    <w:p w14:paraId="22E2E7D8" w14:textId="39353C28" w:rsidR="00315BED" w:rsidRPr="00695E2A" w:rsidRDefault="00315BED" w:rsidP="00695E2A">
      <w:pPr>
        <w:jc w:val="center"/>
        <w:rPr>
          <w:rFonts w:ascii="Arial Narrow" w:hAnsi="Arial Narrow"/>
          <w:b/>
          <w:sz w:val="30"/>
          <w:szCs w:val="30"/>
        </w:rPr>
      </w:pPr>
      <w:r w:rsidRPr="00695E2A">
        <w:rPr>
          <w:rFonts w:ascii="Arial Narrow" w:hAnsi="Arial Narrow"/>
          <w:b/>
          <w:sz w:val="30"/>
          <w:szCs w:val="30"/>
        </w:rPr>
        <w:t>PRICES</w:t>
      </w:r>
    </w:p>
    <w:p w14:paraId="00EB95A2" w14:textId="1B06EB89" w:rsidR="00FC0C1C" w:rsidRDefault="00315BED" w:rsidP="0064064B">
      <w:pPr>
        <w:spacing w:after="220"/>
        <w:rPr>
          <w:rFonts w:ascii="Arial Narrow" w:hAnsi="Arial Narrow"/>
        </w:rPr>
      </w:pPr>
      <w:r w:rsidRPr="0068610E">
        <w:rPr>
          <w:rFonts w:ascii="Arial Narrow" w:hAnsi="Arial Narrow"/>
        </w:rPr>
        <w:t>The Tenderer offers the Service for the following charges</w:t>
      </w:r>
      <w:r w:rsidR="00162740">
        <w:rPr>
          <w:rFonts w:ascii="Arial Narrow" w:hAnsi="Arial Narrow"/>
        </w:rPr>
        <w:t>.</w:t>
      </w:r>
      <w:r w:rsidR="00AA06B4">
        <w:rPr>
          <w:rFonts w:ascii="Arial Narrow" w:hAnsi="Arial Narrow"/>
        </w:rPr>
        <w:t xml:space="preserve"> </w:t>
      </w:r>
    </w:p>
    <w:p w14:paraId="75E51C1D" w14:textId="2EA60C89" w:rsidR="00315BED" w:rsidRDefault="00613382" w:rsidP="0064064B">
      <w:pPr>
        <w:spacing w:after="220"/>
        <w:rPr>
          <w:rFonts w:ascii="Arial Narrow" w:hAnsi="Arial Narrow"/>
        </w:rPr>
      </w:pPr>
      <w:r w:rsidRPr="00613382">
        <w:rPr>
          <w:rFonts w:ascii="Arial Narrow" w:hAnsi="Arial Narrow"/>
          <w:b/>
          <w:bCs/>
        </w:rPr>
        <w:t>Note:</w:t>
      </w:r>
      <w:r>
        <w:rPr>
          <w:rFonts w:ascii="Arial Narrow" w:hAnsi="Arial Narrow"/>
        </w:rPr>
        <w:t xml:space="preserve"> </w:t>
      </w:r>
      <w:r w:rsidR="00AA06B4">
        <w:rPr>
          <w:rFonts w:ascii="Arial Narrow" w:hAnsi="Arial Narrow"/>
        </w:rPr>
        <w:t xml:space="preserve">Additional tables should be inserted if the Tenderer wishes to offer alternative or discounted pricing for the Service based on </w:t>
      </w:r>
      <w:r w:rsidR="00FC0C1C">
        <w:rPr>
          <w:rFonts w:ascii="Arial Narrow" w:hAnsi="Arial Narrow"/>
        </w:rPr>
        <w:t xml:space="preserve">alternative </w:t>
      </w:r>
      <w:r w:rsidR="00AA06B4">
        <w:rPr>
          <w:rFonts w:ascii="Arial Narrow" w:hAnsi="Arial Narrow"/>
        </w:rPr>
        <w:t>contract duration</w:t>
      </w:r>
      <w:r w:rsidR="00FC0C1C">
        <w:rPr>
          <w:rFonts w:ascii="Arial Narrow" w:hAnsi="Arial Narrow"/>
        </w:rPr>
        <w:t>s</w:t>
      </w:r>
      <w:r>
        <w:rPr>
          <w:rFonts w:ascii="Arial Narrow" w:hAnsi="Arial Narrow"/>
        </w:rPr>
        <w:t>.</w:t>
      </w:r>
      <w:r w:rsidR="00FC0C1C">
        <w:rPr>
          <w:rFonts w:ascii="Arial Narrow" w:hAnsi="Arial Narrow"/>
        </w:rPr>
        <w:t xml:space="preserve"> </w:t>
      </w:r>
      <w:r>
        <w:rPr>
          <w:rFonts w:ascii="Arial Narrow" w:hAnsi="Arial Narrow"/>
        </w:rPr>
        <w:t xml:space="preserve">While </w:t>
      </w:r>
      <w:r w:rsidR="00FC0C1C">
        <w:rPr>
          <w:rFonts w:ascii="Arial Narrow" w:hAnsi="Arial Narrow"/>
        </w:rPr>
        <w:t>these will be considered non-conforming</w:t>
      </w:r>
      <w:r w:rsidR="000741A9">
        <w:rPr>
          <w:rFonts w:ascii="Arial Narrow" w:hAnsi="Arial Narrow"/>
        </w:rPr>
        <w:t xml:space="preserve"> offers</w:t>
      </w:r>
      <w:r>
        <w:rPr>
          <w:rFonts w:ascii="Arial Narrow" w:hAnsi="Arial Narrow"/>
        </w:rPr>
        <w:t xml:space="preserve">, they may nevertheless </w:t>
      </w:r>
      <w:r w:rsidR="00FC0C1C">
        <w:rPr>
          <w:rFonts w:ascii="Arial Narrow" w:hAnsi="Arial Narrow"/>
        </w:rPr>
        <w:t>be reviewed and assessed by AEMO</w:t>
      </w:r>
      <w:r>
        <w:rPr>
          <w:rFonts w:ascii="Arial Narrow" w:hAnsi="Arial Narrow"/>
        </w:rPr>
        <w:t>, at AEMO’s discretion</w:t>
      </w:r>
      <w:r w:rsidR="00315BED" w:rsidRPr="0068610E">
        <w:rPr>
          <w:rFonts w:ascii="Arial Narrow" w:hAnsi="Arial Narrow"/>
        </w:rPr>
        <w:t>:</w:t>
      </w:r>
    </w:p>
    <w:p w14:paraId="76F905C5" w14:textId="27D4C8CE" w:rsidR="00221044" w:rsidRPr="00613382" w:rsidRDefault="00221044" w:rsidP="00613382">
      <w:pPr>
        <w:jc w:val="both"/>
        <w:rPr>
          <w:rFonts w:ascii="Arial Narrow" w:hAnsi="Arial Narrow"/>
          <w:b/>
          <w:sz w:val="30"/>
          <w:szCs w:val="30"/>
        </w:rPr>
      </w:pPr>
      <w:r>
        <w:rPr>
          <w:rFonts w:ascii="Arial Narrow" w:hAnsi="Arial Narrow"/>
          <w:b/>
          <w:sz w:val="30"/>
          <w:szCs w:val="30"/>
        </w:rPr>
        <w:t>3 YEAR CONTRACT DURATION</w:t>
      </w:r>
    </w:p>
    <w:tbl>
      <w:tblPr>
        <w:tblStyle w:val="TableGrid"/>
        <w:tblW w:w="0" w:type="auto"/>
        <w:tblInd w:w="-5" w:type="dxa"/>
        <w:tblLook w:val="01A0" w:firstRow="1" w:lastRow="0" w:firstColumn="1" w:lastColumn="1" w:noHBand="0" w:noVBand="0"/>
      </w:tblPr>
      <w:tblGrid>
        <w:gridCol w:w="4395"/>
        <w:gridCol w:w="4536"/>
      </w:tblGrid>
      <w:tr w:rsidR="00315BED" w:rsidRPr="001D2A0D" w14:paraId="38C1507F" w14:textId="77777777" w:rsidTr="00613382">
        <w:tc>
          <w:tcPr>
            <w:tcW w:w="4395" w:type="dxa"/>
            <w:shd w:val="clear" w:color="auto" w:fill="F2F2F2" w:themeFill="background1" w:themeFillShade="F2"/>
          </w:tcPr>
          <w:p w14:paraId="71746BC9" w14:textId="4CDCA4C5" w:rsidR="00315BED" w:rsidRPr="00315BED" w:rsidRDefault="00315BED" w:rsidP="0064064B">
            <w:pPr>
              <w:pStyle w:val="TableTitle"/>
            </w:pPr>
            <w:r w:rsidRPr="00315BED">
              <w:t xml:space="preserve">Availability Charge (per </w:t>
            </w:r>
            <w:r w:rsidR="00E20989" w:rsidRPr="003D17C8">
              <w:rPr>
                <w:iCs/>
              </w:rPr>
              <w:t xml:space="preserve">30-minute </w:t>
            </w:r>
            <w:r w:rsidRPr="003D17C8">
              <w:rPr>
                <w:iCs/>
              </w:rPr>
              <w:t>interval</w:t>
            </w:r>
            <w:r w:rsidRPr="00315BED">
              <w:rPr>
                <w:i/>
              </w:rPr>
              <w:t>)</w:t>
            </w:r>
          </w:p>
        </w:tc>
        <w:tc>
          <w:tcPr>
            <w:tcW w:w="4536" w:type="dxa"/>
            <w:shd w:val="clear" w:color="auto" w:fill="auto"/>
          </w:tcPr>
          <w:p w14:paraId="1A57E38D" w14:textId="3DFCE82F" w:rsidR="00315BED" w:rsidRPr="00315BED" w:rsidRDefault="002B3DD7" w:rsidP="0064064B">
            <w:pPr>
              <w:pStyle w:val="TableText"/>
            </w:pPr>
            <w:r>
              <w:t>A</w:t>
            </w:r>
            <w:r w:rsidR="00315BED" w:rsidRPr="00315BED">
              <w:t>$</w:t>
            </w:r>
          </w:p>
        </w:tc>
      </w:tr>
      <w:tr w:rsidR="00315BED" w:rsidRPr="001D2A0D" w14:paraId="10B49B27" w14:textId="77777777" w:rsidTr="00613382">
        <w:tc>
          <w:tcPr>
            <w:tcW w:w="4395" w:type="dxa"/>
            <w:shd w:val="clear" w:color="auto" w:fill="F2F2F2" w:themeFill="background1" w:themeFillShade="F2"/>
          </w:tcPr>
          <w:p w14:paraId="6B39DB6C" w14:textId="77777777" w:rsidR="00315BED" w:rsidRPr="00315BED" w:rsidRDefault="00315BED" w:rsidP="0064064B">
            <w:pPr>
              <w:pStyle w:val="TableTitle"/>
            </w:pPr>
            <w:r w:rsidRPr="00315BED">
              <w:t>Usage Charge (per Event)</w:t>
            </w:r>
          </w:p>
        </w:tc>
        <w:tc>
          <w:tcPr>
            <w:tcW w:w="4536" w:type="dxa"/>
            <w:shd w:val="clear" w:color="auto" w:fill="auto"/>
          </w:tcPr>
          <w:p w14:paraId="25A39C6C" w14:textId="2A641E74" w:rsidR="00315BED" w:rsidRPr="00315BED" w:rsidRDefault="002B3DD7" w:rsidP="0064064B">
            <w:pPr>
              <w:pStyle w:val="TableText"/>
            </w:pPr>
            <w:r>
              <w:t>A</w:t>
            </w:r>
            <w:r w:rsidR="00315BED" w:rsidRPr="00315BED">
              <w:t>$</w:t>
            </w:r>
          </w:p>
        </w:tc>
      </w:tr>
      <w:tr w:rsidR="00315BED" w:rsidRPr="001D2A0D" w14:paraId="04B036E5" w14:textId="77777777" w:rsidTr="00613382">
        <w:tc>
          <w:tcPr>
            <w:tcW w:w="4395" w:type="dxa"/>
            <w:shd w:val="clear" w:color="auto" w:fill="F2F2F2" w:themeFill="background1" w:themeFillShade="F2"/>
          </w:tcPr>
          <w:p w14:paraId="7BB0D851" w14:textId="77777777" w:rsidR="00315BED" w:rsidRPr="00315BED" w:rsidRDefault="00695E2A" w:rsidP="002D453D">
            <w:pPr>
              <w:pStyle w:val="TableTitle"/>
            </w:pPr>
            <w:r>
              <w:t>Testing Charge (per T</w:t>
            </w:r>
            <w:r w:rsidR="00315BED" w:rsidRPr="00315BED">
              <w:t>est)</w:t>
            </w:r>
          </w:p>
        </w:tc>
        <w:tc>
          <w:tcPr>
            <w:tcW w:w="4536" w:type="dxa"/>
            <w:shd w:val="clear" w:color="auto" w:fill="auto"/>
          </w:tcPr>
          <w:p w14:paraId="4A67A19F" w14:textId="5DF117A3" w:rsidR="00315BED" w:rsidRPr="00315BED" w:rsidRDefault="002B3DD7" w:rsidP="0064064B">
            <w:pPr>
              <w:pStyle w:val="TableText"/>
            </w:pPr>
            <w:r>
              <w:t>A</w:t>
            </w:r>
            <w:r w:rsidR="00315BED" w:rsidRPr="00315BED">
              <w:t>$</w:t>
            </w:r>
          </w:p>
        </w:tc>
      </w:tr>
    </w:tbl>
    <w:p w14:paraId="2885DBDF" w14:textId="3A0B808B" w:rsidR="00221044" w:rsidRPr="00357E1F" w:rsidRDefault="00293A8B" w:rsidP="00221044">
      <w:pPr>
        <w:jc w:val="both"/>
        <w:rPr>
          <w:rFonts w:ascii="Arial Narrow" w:hAnsi="Arial Narrow"/>
          <w:b/>
          <w:sz w:val="30"/>
          <w:szCs w:val="30"/>
        </w:rPr>
      </w:pPr>
      <w:r w:rsidRPr="00613382">
        <w:rPr>
          <w:rFonts w:ascii="Arial Narrow" w:hAnsi="Arial Narrow"/>
          <w:b/>
          <w:sz w:val="30"/>
          <w:szCs w:val="30"/>
        </w:rPr>
        <w:t>5</w:t>
      </w:r>
      <w:r w:rsidRPr="00293A8B">
        <w:rPr>
          <w:rFonts w:ascii="Arial Narrow" w:hAnsi="Arial Narrow"/>
          <w:b/>
          <w:sz w:val="30"/>
          <w:szCs w:val="30"/>
        </w:rPr>
        <w:t xml:space="preserve"> </w:t>
      </w:r>
      <w:r w:rsidR="00221044" w:rsidRPr="00293A8B">
        <w:rPr>
          <w:rFonts w:ascii="Arial Narrow" w:hAnsi="Arial Narrow"/>
          <w:b/>
          <w:sz w:val="30"/>
          <w:szCs w:val="30"/>
        </w:rPr>
        <w:t>YEAR CONTRACT DURATION</w:t>
      </w:r>
    </w:p>
    <w:tbl>
      <w:tblPr>
        <w:tblStyle w:val="TableGrid"/>
        <w:tblW w:w="0" w:type="auto"/>
        <w:tblInd w:w="-5" w:type="dxa"/>
        <w:tblLook w:val="01A0" w:firstRow="1" w:lastRow="0" w:firstColumn="1" w:lastColumn="1" w:noHBand="0" w:noVBand="0"/>
      </w:tblPr>
      <w:tblGrid>
        <w:gridCol w:w="4395"/>
        <w:gridCol w:w="4536"/>
      </w:tblGrid>
      <w:tr w:rsidR="00221044" w:rsidRPr="001D2A0D" w14:paraId="1AF3DAF3" w14:textId="77777777" w:rsidTr="00613382">
        <w:tc>
          <w:tcPr>
            <w:tcW w:w="4395" w:type="dxa"/>
            <w:shd w:val="clear" w:color="auto" w:fill="F2F2F2" w:themeFill="background1" w:themeFillShade="F2"/>
          </w:tcPr>
          <w:p w14:paraId="3250B881" w14:textId="77777777" w:rsidR="00221044" w:rsidRPr="00315BED" w:rsidRDefault="00221044" w:rsidP="00F4058F">
            <w:pPr>
              <w:pStyle w:val="TableTitle"/>
            </w:pPr>
            <w:r w:rsidRPr="00315BED">
              <w:t xml:space="preserve">Availability Charge (per </w:t>
            </w:r>
            <w:r w:rsidRPr="003D17C8">
              <w:rPr>
                <w:iCs/>
              </w:rPr>
              <w:t>30-minute interval</w:t>
            </w:r>
            <w:r w:rsidRPr="00315BED">
              <w:rPr>
                <w:i/>
              </w:rPr>
              <w:t>)</w:t>
            </w:r>
          </w:p>
        </w:tc>
        <w:tc>
          <w:tcPr>
            <w:tcW w:w="4536" w:type="dxa"/>
            <w:shd w:val="clear" w:color="auto" w:fill="auto"/>
          </w:tcPr>
          <w:p w14:paraId="5DC2F312" w14:textId="77777777" w:rsidR="00221044" w:rsidRPr="00315BED" w:rsidRDefault="00221044" w:rsidP="00F4058F">
            <w:pPr>
              <w:pStyle w:val="TableText"/>
            </w:pPr>
            <w:r>
              <w:t>A</w:t>
            </w:r>
            <w:r w:rsidRPr="00315BED">
              <w:t>$</w:t>
            </w:r>
          </w:p>
        </w:tc>
      </w:tr>
      <w:tr w:rsidR="00221044" w:rsidRPr="001D2A0D" w14:paraId="6C22C8F9" w14:textId="77777777" w:rsidTr="00613382">
        <w:tc>
          <w:tcPr>
            <w:tcW w:w="4395" w:type="dxa"/>
            <w:shd w:val="clear" w:color="auto" w:fill="F2F2F2" w:themeFill="background1" w:themeFillShade="F2"/>
          </w:tcPr>
          <w:p w14:paraId="182354DA" w14:textId="77777777" w:rsidR="00221044" w:rsidRPr="00315BED" w:rsidRDefault="00221044" w:rsidP="00F4058F">
            <w:pPr>
              <w:pStyle w:val="TableTitle"/>
            </w:pPr>
            <w:r w:rsidRPr="00315BED">
              <w:t>Usage Charge (per Event)</w:t>
            </w:r>
          </w:p>
        </w:tc>
        <w:tc>
          <w:tcPr>
            <w:tcW w:w="4536" w:type="dxa"/>
            <w:shd w:val="clear" w:color="auto" w:fill="auto"/>
          </w:tcPr>
          <w:p w14:paraId="1E7AE7FE" w14:textId="77777777" w:rsidR="00221044" w:rsidRPr="00315BED" w:rsidRDefault="00221044" w:rsidP="00F4058F">
            <w:pPr>
              <w:pStyle w:val="TableText"/>
            </w:pPr>
            <w:r>
              <w:t>A</w:t>
            </w:r>
            <w:r w:rsidRPr="00315BED">
              <w:t>$</w:t>
            </w:r>
          </w:p>
        </w:tc>
      </w:tr>
      <w:tr w:rsidR="00221044" w:rsidRPr="001D2A0D" w14:paraId="15F64C52" w14:textId="77777777" w:rsidTr="00613382">
        <w:tc>
          <w:tcPr>
            <w:tcW w:w="4395" w:type="dxa"/>
            <w:shd w:val="clear" w:color="auto" w:fill="F2F2F2" w:themeFill="background1" w:themeFillShade="F2"/>
          </w:tcPr>
          <w:p w14:paraId="0D84E029" w14:textId="77777777" w:rsidR="00221044" w:rsidRPr="00315BED" w:rsidRDefault="00221044" w:rsidP="00F4058F">
            <w:pPr>
              <w:pStyle w:val="TableTitle"/>
            </w:pPr>
            <w:r>
              <w:t>Testing Charge (per T</w:t>
            </w:r>
            <w:r w:rsidRPr="00315BED">
              <w:t>est)</w:t>
            </w:r>
          </w:p>
        </w:tc>
        <w:tc>
          <w:tcPr>
            <w:tcW w:w="4536" w:type="dxa"/>
            <w:shd w:val="clear" w:color="auto" w:fill="auto"/>
          </w:tcPr>
          <w:p w14:paraId="3D98475B" w14:textId="77777777" w:rsidR="00221044" w:rsidRPr="00315BED" w:rsidRDefault="00221044" w:rsidP="00F4058F">
            <w:pPr>
              <w:pStyle w:val="TableText"/>
            </w:pPr>
            <w:r>
              <w:t>A</w:t>
            </w:r>
            <w:r w:rsidRPr="00315BED">
              <w:t>$</w:t>
            </w:r>
          </w:p>
        </w:tc>
      </w:tr>
    </w:tbl>
    <w:p w14:paraId="1AC21AAD" w14:textId="77777777" w:rsidR="00087342" w:rsidRDefault="00571CC6" w:rsidP="00541E79">
      <w:pPr>
        <w:jc w:val="both"/>
        <w:rPr>
          <w:rFonts w:ascii="Arial Narrow" w:hAnsi="Arial Narrow"/>
          <w:b/>
          <w:sz w:val="30"/>
          <w:szCs w:val="30"/>
        </w:rPr>
      </w:pPr>
      <w:r>
        <w:rPr>
          <w:rFonts w:ascii="Arial Narrow" w:hAnsi="Arial Narrow"/>
          <w:b/>
          <w:sz w:val="30"/>
          <w:szCs w:val="30"/>
        </w:rPr>
        <w:t xml:space="preserve">Contract </w:t>
      </w:r>
      <w:r w:rsidR="00087342">
        <w:rPr>
          <w:rFonts w:ascii="Arial Narrow" w:hAnsi="Arial Narrow"/>
          <w:b/>
          <w:sz w:val="30"/>
          <w:szCs w:val="30"/>
        </w:rPr>
        <w:t>operational start</w:t>
      </w:r>
    </w:p>
    <w:p w14:paraId="0FC9319D" w14:textId="333BBEE2" w:rsidR="00541E79" w:rsidRDefault="00087342" w:rsidP="00613382">
      <w:pPr>
        <w:pStyle w:val="BodyText"/>
        <w:ind w:left="0"/>
      </w:pPr>
      <w:r>
        <w:t xml:space="preserve">The Service is available </w:t>
      </w:r>
      <w:r w:rsidR="006C3E2B">
        <w:t xml:space="preserve">and offered to be </w:t>
      </w:r>
      <w:r>
        <w:t xml:space="preserve">contracted from </w:t>
      </w:r>
      <w:r w:rsidR="00041F03">
        <w:t xml:space="preserve">_________________ (please provide the </w:t>
      </w:r>
      <w:r w:rsidR="00DD4CAB">
        <w:t xml:space="preserve">available start </w:t>
      </w:r>
      <w:r w:rsidR="00314A1D">
        <w:t xml:space="preserve">date, </w:t>
      </w:r>
      <w:r w:rsidR="00DD4CAB">
        <w:t>1 July 2024</w:t>
      </w:r>
      <w:r w:rsidR="00314A1D">
        <w:t xml:space="preserve"> and/or</w:t>
      </w:r>
      <w:r w:rsidR="00DD4CAB">
        <w:t xml:space="preserve"> 1 July 2025</w:t>
      </w:r>
      <w:r w:rsidR="00FD26EF">
        <w:t>)</w:t>
      </w:r>
      <w:r w:rsidR="00DD4CAB">
        <w:t xml:space="preserve">. </w:t>
      </w:r>
      <w:r w:rsidR="00613382">
        <w:t xml:space="preserve"> While a</w:t>
      </w:r>
      <w:r w:rsidR="003C3FFE">
        <w:t xml:space="preserve">lternative </w:t>
      </w:r>
      <w:r w:rsidR="00C70AC9">
        <w:t>start date off</w:t>
      </w:r>
      <w:r w:rsidR="003C3FFE">
        <w:t>ers will be considered non-conforming</w:t>
      </w:r>
      <w:r w:rsidR="00613382">
        <w:t xml:space="preserve">, </w:t>
      </w:r>
      <w:r w:rsidR="003C3FFE">
        <w:t xml:space="preserve"> </w:t>
      </w:r>
      <w:r w:rsidR="00613382">
        <w:t>they may nevertheless be reviewed and assessed by AEMO, at AEMO’s discretion.</w:t>
      </w:r>
      <w:r w:rsidR="003C3FFE">
        <w:t xml:space="preserve"> </w:t>
      </w:r>
    </w:p>
    <w:p w14:paraId="039B87DC" w14:textId="564ECFA8" w:rsidR="00315BED" w:rsidRPr="001D2A0D" w:rsidRDefault="00315BED" w:rsidP="00315BED">
      <w:pPr>
        <w:rPr>
          <w:rFonts w:ascii="Arial Narrow" w:hAnsi="Arial Narrow"/>
          <w:b/>
        </w:rPr>
      </w:pPr>
      <w:r w:rsidRPr="001D2A0D">
        <w:rPr>
          <w:rFonts w:ascii="Arial Narrow" w:hAnsi="Arial Narrow"/>
          <w:b/>
        </w:rPr>
        <w:t>Note</w:t>
      </w:r>
      <w:r w:rsidR="00504FD5">
        <w:rPr>
          <w:rFonts w:ascii="Arial Narrow" w:hAnsi="Arial Narrow"/>
          <w:b/>
        </w:rPr>
        <w:t>s</w:t>
      </w:r>
      <w:r w:rsidRPr="001D2A0D">
        <w:rPr>
          <w:rFonts w:ascii="Arial Narrow" w:hAnsi="Arial Narrow"/>
          <w:b/>
        </w:rPr>
        <w:t>:</w:t>
      </w:r>
    </w:p>
    <w:p w14:paraId="00B7C1F1" w14:textId="087BB3E4" w:rsidR="00D5045C" w:rsidRDefault="00D5045C" w:rsidP="0072709B">
      <w:pPr>
        <w:pStyle w:val="BodyText"/>
        <w:numPr>
          <w:ilvl w:val="0"/>
          <w:numId w:val="11"/>
        </w:numPr>
        <w:ind w:left="567" w:hanging="567"/>
      </w:pPr>
      <w:r>
        <w:t xml:space="preserve">The Availability Charge is payable for each </w:t>
      </w:r>
      <w:r w:rsidR="000E6D07">
        <w:t xml:space="preserve">30-minute </w:t>
      </w:r>
      <w:r w:rsidRPr="00AA06B4">
        <w:rPr>
          <w:iCs/>
        </w:rPr>
        <w:t>interval</w:t>
      </w:r>
      <w:r>
        <w:rPr>
          <w:i/>
        </w:rPr>
        <w:t xml:space="preserve"> </w:t>
      </w:r>
      <w:r>
        <w:t xml:space="preserve">that the SRAS is capable of being provided at the nominated Delivery Point. </w:t>
      </w:r>
      <w:r w:rsidR="003B11C2">
        <w:t xml:space="preserve">Under </w:t>
      </w:r>
      <w:r>
        <w:t>the SRAS Agreement</w:t>
      </w:r>
      <w:r w:rsidR="003B11C2">
        <w:t>,</w:t>
      </w:r>
      <w:r>
        <w:t xml:space="preserve"> the SRAS will not be available during periods when any part of the nominated SRAS Equipment or </w:t>
      </w:r>
      <w:r w:rsidR="00423C5E">
        <w:t xml:space="preserve">Network Delivery </w:t>
      </w:r>
      <w:r>
        <w:t xml:space="preserve">Components </w:t>
      </w:r>
      <w:r w:rsidR="009E16B5">
        <w:t>are</w:t>
      </w:r>
      <w:r>
        <w:t xml:space="preserve"> out of service.</w:t>
      </w:r>
    </w:p>
    <w:p w14:paraId="40613105" w14:textId="0CB0D5B9" w:rsidR="00E20989" w:rsidRDefault="00E20989" w:rsidP="0072709B">
      <w:pPr>
        <w:pStyle w:val="BodyText"/>
        <w:numPr>
          <w:ilvl w:val="0"/>
          <w:numId w:val="11"/>
        </w:numPr>
        <w:ind w:left="567" w:hanging="567"/>
      </w:pPr>
      <w:r>
        <w:rPr>
          <w:i/>
        </w:rPr>
        <w:t xml:space="preserve">Trading interval </w:t>
      </w:r>
      <w:r>
        <w:t>charges can be converted following the introduction of 5-minute settlement where necessary. Tender</w:t>
      </w:r>
      <w:r w:rsidR="004961DE">
        <w:t xml:space="preserve"> pricing should assume 30-minute intervals.</w:t>
      </w:r>
      <w:r>
        <w:rPr>
          <w:i/>
        </w:rPr>
        <w:t xml:space="preserve"> </w:t>
      </w:r>
    </w:p>
    <w:p w14:paraId="2497E4D0" w14:textId="0316797F" w:rsidR="00315BED" w:rsidRDefault="00504FD5" w:rsidP="0072709B">
      <w:pPr>
        <w:pStyle w:val="BodyText"/>
        <w:numPr>
          <w:ilvl w:val="0"/>
          <w:numId w:val="11"/>
        </w:numPr>
        <w:ind w:left="567" w:hanging="567"/>
      </w:pPr>
      <w:r>
        <w:t>T</w:t>
      </w:r>
      <w:r w:rsidRPr="001D2A0D">
        <w:t>he Testing Charge refers to the cost of conducting a</w:t>
      </w:r>
      <w:r>
        <w:t xml:space="preserve">n SRAS </w:t>
      </w:r>
      <w:r w:rsidRPr="001D2A0D">
        <w:t>Test</w:t>
      </w:r>
      <w:r w:rsidR="004956B9">
        <w:t xml:space="preserve">, </w:t>
      </w:r>
      <w:r w:rsidRPr="001D2A0D">
        <w:t>as defined in the SRAS Guideline</w:t>
      </w:r>
      <w:r w:rsidR="004956B9">
        <w:t xml:space="preserve">. Note that an SRAS Test </w:t>
      </w:r>
      <w:r w:rsidR="000C1594">
        <w:t xml:space="preserve">is required to </w:t>
      </w:r>
      <w:r w:rsidR="004956B9">
        <w:t xml:space="preserve">demonstrate the </w:t>
      </w:r>
      <w:r w:rsidR="00EC0F37">
        <w:t>ability of the SRAS</w:t>
      </w:r>
      <w:r w:rsidR="000C1594">
        <w:t xml:space="preserve"> to restart without external power and supply power to a de-energised part of the </w:t>
      </w:r>
      <w:r w:rsidR="000C1594">
        <w:rPr>
          <w:i/>
        </w:rPr>
        <w:t>transmission network</w:t>
      </w:r>
      <w:r w:rsidR="000C1594">
        <w:t>. This will require</w:t>
      </w:r>
      <w:r w:rsidR="00D5045C">
        <w:t xml:space="preserve"> the participation of, as a minimum, the local </w:t>
      </w:r>
      <w:r w:rsidR="00D5045C">
        <w:rPr>
          <w:i/>
        </w:rPr>
        <w:t>Transmission Network Service Provider</w:t>
      </w:r>
      <w:r w:rsidR="00D5045C">
        <w:t>.</w:t>
      </w:r>
      <w:r w:rsidR="00EC0F37">
        <w:t xml:space="preserve"> </w:t>
      </w:r>
    </w:p>
    <w:p w14:paraId="08D87BF0" w14:textId="77777777" w:rsidR="00BB48B1" w:rsidRPr="00185852" w:rsidRDefault="00BB48B1" w:rsidP="0064064B"/>
    <w:p w14:paraId="74175910" w14:textId="77777777" w:rsidR="00315BED" w:rsidRPr="001D2A0D" w:rsidRDefault="00315BED" w:rsidP="00315BED">
      <w:pPr>
        <w:spacing w:after="220"/>
        <w:rPr>
          <w:rFonts w:ascii="Arial Narrow" w:hAnsi="Arial Narrow" w:cs="Arial"/>
          <w:sz w:val="20"/>
        </w:rPr>
      </w:pPr>
    </w:p>
    <w:p w14:paraId="62737CED" w14:textId="77777777" w:rsidR="008F0572" w:rsidRPr="00A86692" w:rsidRDefault="008F0572" w:rsidP="00B0763D">
      <w:pPr>
        <w:spacing w:after="220"/>
        <w:rPr>
          <w:rFonts w:ascii="Arial Narrow" w:hAnsi="Arial Narrow"/>
        </w:rPr>
      </w:pPr>
    </w:p>
    <w:p w14:paraId="038C6CCA" w14:textId="77777777" w:rsidR="003B11C2" w:rsidRPr="009F3F1B" w:rsidRDefault="003B11C2" w:rsidP="003B11C2">
      <w:pPr>
        <w:pStyle w:val="ITTScheduleHeading1"/>
        <w:shd w:val="clear" w:color="auto" w:fill="auto"/>
        <w:rPr>
          <w:rFonts w:ascii="Arial Narrow" w:hAnsi="Arial Narrow"/>
          <w:sz w:val="30"/>
          <w:szCs w:val="30"/>
        </w:rPr>
      </w:pPr>
      <w:bookmarkStart w:id="30" w:name="_Toc133844116"/>
      <w:r w:rsidRPr="009F3F1B">
        <w:rPr>
          <w:rFonts w:ascii="Arial Narrow" w:hAnsi="Arial Narrow"/>
          <w:sz w:val="30"/>
          <w:szCs w:val="30"/>
        </w:rPr>
        <w:lastRenderedPageBreak/>
        <w:t xml:space="preserve">SCHEDULE </w:t>
      </w:r>
      <w:r>
        <w:rPr>
          <w:rFonts w:ascii="Arial Narrow" w:hAnsi="Arial Narrow"/>
          <w:sz w:val="30"/>
          <w:szCs w:val="30"/>
        </w:rPr>
        <w:t>4</w:t>
      </w:r>
      <w:bookmarkEnd w:id="30"/>
    </w:p>
    <w:p w14:paraId="3D3628F2" w14:textId="4C9659A1" w:rsidR="003B11C2" w:rsidRPr="009F3F1B" w:rsidRDefault="0FF4E9F9" w:rsidP="1891146B">
      <w:pPr>
        <w:spacing w:after="220"/>
        <w:jc w:val="center"/>
        <w:rPr>
          <w:rFonts w:ascii="Arial Narrow" w:hAnsi="Arial Narrow" w:cs="Arial"/>
          <w:b/>
          <w:sz w:val="30"/>
          <w:szCs w:val="30"/>
        </w:rPr>
      </w:pPr>
      <w:r>
        <w:rPr>
          <w:rFonts w:ascii="Arial Narrow" w:hAnsi="Arial Narrow" w:cs="Arial"/>
          <w:b/>
          <w:sz w:val="30"/>
          <w:szCs w:val="30"/>
        </w:rPr>
        <w:t>THIRD PARTY ARRANGEMENTS</w:t>
      </w:r>
      <w:r w:rsidR="10648E0A">
        <w:rPr>
          <w:rFonts w:ascii="Arial Narrow" w:hAnsi="Arial Narrow" w:cs="Arial"/>
          <w:b/>
          <w:sz w:val="30"/>
          <w:szCs w:val="30"/>
        </w:rPr>
        <w:t xml:space="preserve"> &amp; TESTING</w:t>
      </w:r>
    </w:p>
    <w:p w14:paraId="61CDA228" w14:textId="7703CDE8" w:rsidR="002D453D" w:rsidRPr="00BD7077" w:rsidRDefault="002D453D" w:rsidP="0072709B">
      <w:pPr>
        <w:pStyle w:val="ListParagraph"/>
        <w:numPr>
          <w:ilvl w:val="6"/>
          <w:numId w:val="9"/>
        </w:numPr>
        <w:spacing w:after="220"/>
        <w:ind w:left="567" w:hanging="567"/>
        <w:rPr>
          <w:rFonts w:ascii="Arial Narrow" w:hAnsi="Arial Narrow"/>
          <w:b/>
        </w:rPr>
      </w:pPr>
      <w:r w:rsidRPr="00BD7077">
        <w:rPr>
          <w:rFonts w:ascii="Arial Narrow" w:hAnsi="Arial Narrow"/>
          <w:b/>
        </w:rPr>
        <w:t>Arrangements with NSP</w:t>
      </w:r>
      <w:r w:rsidR="004961DE">
        <w:rPr>
          <w:rFonts w:ascii="Arial Narrow" w:hAnsi="Arial Narrow"/>
          <w:b/>
        </w:rPr>
        <w:t>s</w:t>
      </w:r>
    </w:p>
    <w:p w14:paraId="28D2B4FF" w14:textId="77777777" w:rsidR="002D453D" w:rsidRDefault="002D453D" w:rsidP="00B0763D">
      <w:pPr>
        <w:spacing w:after="220"/>
        <w:rPr>
          <w:rFonts w:ascii="Arial Narrow" w:hAnsi="Arial Narrow"/>
        </w:rPr>
      </w:pPr>
      <w:r>
        <w:rPr>
          <w:rFonts w:ascii="Arial Narrow" w:hAnsi="Arial Narrow"/>
        </w:rPr>
        <w:t>Please provide the following information:</w:t>
      </w:r>
    </w:p>
    <w:tbl>
      <w:tblPr>
        <w:tblStyle w:val="TableGrid"/>
        <w:tblW w:w="9497" w:type="dxa"/>
        <w:tblInd w:w="108" w:type="dxa"/>
        <w:tblLook w:val="04A0" w:firstRow="1" w:lastRow="0" w:firstColumn="1" w:lastColumn="0" w:noHBand="0" w:noVBand="1"/>
      </w:tblPr>
      <w:tblGrid>
        <w:gridCol w:w="4678"/>
        <w:gridCol w:w="4819"/>
      </w:tblGrid>
      <w:tr w:rsidR="00BD7077" w:rsidRPr="007D512F" w14:paraId="2960E68E" w14:textId="77777777" w:rsidTr="00613382">
        <w:trPr>
          <w:tblHeader/>
        </w:trPr>
        <w:tc>
          <w:tcPr>
            <w:tcW w:w="4678" w:type="dxa"/>
            <w:shd w:val="clear" w:color="auto" w:fill="F2F2F2" w:themeFill="background1" w:themeFillShade="F2"/>
          </w:tcPr>
          <w:p w14:paraId="367653A8" w14:textId="0AEF16B3" w:rsidR="00BD7077" w:rsidRPr="007D512F" w:rsidRDefault="00BD7077" w:rsidP="00E767B6">
            <w:pPr>
              <w:pStyle w:val="Indent2"/>
              <w:numPr>
                <w:ilvl w:val="0"/>
                <w:numId w:val="0"/>
              </w:numPr>
              <w:tabs>
                <w:tab w:val="right" w:pos="2726"/>
              </w:tabs>
              <w:spacing w:before="60" w:after="60"/>
              <w:ind w:left="142"/>
              <w:rPr>
                <w:rFonts w:ascii="Arial Narrow" w:hAnsi="Arial Narrow"/>
                <w:sz w:val="20"/>
              </w:rPr>
            </w:pPr>
            <w:r w:rsidRPr="007D512F">
              <w:rPr>
                <w:rFonts w:ascii="Arial Narrow" w:hAnsi="Arial Narrow" w:cs="Arial"/>
                <w:b/>
                <w:sz w:val="20"/>
              </w:rPr>
              <w:t>Requirement</w:t>
            </w:r>
          </w:p>
        </w:tc>
        <w:tc>
          <w:tcPr>
            <w:tcW w:w="4819" w:type="dxa"/>
            <w:shd w:val="clear" w:color="auto" w:fill="F2F2F2" w:themeFill="background1" w:themeFillShade="F2"/>
          </w:tcPr>
          <w:p w14:paraId="747436A2" w14:textId="77777777" w:rsidR="00BD7077" w:rsidRPr="00BA066D" w:rsidRDefault="00BD7077" w:rsidP="00E767B6">
            <w:pPr>
              <w:pStyle w:val="Indent2"/>
              <w:numPr>
                <w:ilvl w:val="0"/>
                <w:numId w:val="0"/>
              </w:numPr>
              <w:tabs>
                <w:tab w:val="right" w:pos="2726"/>
              </w:tabs>
              <w:spacing w:before="60" w:after="60"/>
              <w:ind w:left="142"/>
              <w:rPr>
                <w:rFonts w:ascii="Arial Narrow" w:hAnsi="Arial Narrow" w:cs="Arial"/>
                <w:b/>
                <w:sz w:val="20"/>
              </w:rPr>
            </w:pPr>
            <w:r w:rsidRPr="00BA066D">
              <w:rPr>
                <w:rFonts w:ascii="Arial Narrow" w:hAnsi="Arial Narrow" w:cs="Arial"/>
                <w:b/>
                <w:sz w:val="20"/>
              </w:rPr>
              <w:t>Description/Response</w:t>
            </w:r>
          </w:p>
        </w:tc>
      </w:tr>
      <w:tr w:rsidR="00BD7077" w:rsidRPr="007D512F" w14:paraId="40685C77" w14:textId="77777777" w:rsidTr="00BD7077">
        <w:tc>
          <w:tcPr>
            <w:tcW w:w="4678" w:type="dxa"/>
          </w:tcPr>
          <w:p w14:paraId="4F961DE0" w14:textId="77777777" w:rsidR="0043415D" w:rsidRPr="0043415D" w:rsidRDefault="00BD7077" w:rsidP="00BA066D">
            <w:pPr>
              <w:spacing w:after="220"/>
              <w:ind w:left="46"/>
              <w:rPr>
                <w:rFonts w:ascii="Arial Narrow" w:hAnsi="Arial Narrow"/>
                <w:sz w:val="20"/>
              </w:rPr>
            </w:pPr>
            <w:r w:rsidRPr="0043415D">
              <w:rPr>
                <w:rFonts w:ascii="Arial Narrow" w:hAnsi="Arial Narrow"/>
                <w:sz w:val="20"/>
              </w:rPr>
              <w:t>Describe the documented arrangements in place between the Tenderer and</w:t>
            </w:r>
            <w:r w:rsidR="0043415D" w:rsidRPr="0043415D">
              <w:rPr>
                <w:rFonts w:ascii="Arial Narrow" w:hAnsi="Arial Narrow"/>
                <w:sz w:val="20"/>
              </w:rPr>
              <w:t>:</w:t>
            </w:r>
          </w:p>
          <w:p w14:paraId="6032E448" w14:textId="67FF23DB" w:rsidR="0043415D" w:rsidRPr="0043415D" w:rsidRDefault="00BD7077" w:rsidP="0072709B">
            <w:pPr>
              <w:pStyle w:val="ListParagraph"/>
              <w:numPr>
                <w:ilvl w:val="0"/>
                <w:numId w:val="14"/>
              </w:numPr>
              <w:spacing w:after="220"/>
              <w:rPr>
                <w:rFonts w:ascii="Arial Narrow" w:hAnsi="Arial Narrow"/>
                <w:sz w:val="20"/>
              </w:rPr>
            </w:pPr>
            <w:r w:rsidRPr="0043415D">
              <w:rPr>
                <w:rFonts w:ascii="Arial Narrow" w:hAnsi="Arial Narrow"/>
                <w:sz w:val="20"/>
              </w:rPr>
              <w:t>the TNSP at the Delivery Point</w:t>
            </w:r>
            <w:r w:rsidR="004961DE" w:rsidRPr="0043415D">
              <w:rPr>
                <w:rFonts w:ascii="Arial Narrow" w:hAnsi="Arial Narrow"/>
                <w:sz w:val="20"/>
              </w:rPr>
              <w:t xml:space="preserve"> </w:t>
            </w:r>
          </w:p>
          <w:p w14:paraId="18712D8D" w14:textId="086C719D" w:rsidR="0043415D" w:rsidRPr="0043415D" w:rsidRDefault="0043415D" w:rsidP="0072709B">
            <w:pPr>
              <w:pStyle w:val="ListParagraph"/>
              <w:numPr>
                <w:ilvl w:val="0"/>
                <w:numId w:val="14"/>
              </w:numPr>
              <w:spacing w:after="220"/>
              <w:rPr>
                <w:rFonts w:ascii="Arial Narrow" w:hAnsi="Arial Narrow"/>
                <w:sz w:val="20"/>
              </w:rPr>
            </w:pPr>
            <w:r w:rsidRPr="0043415D">
              <w:rPr>
                <w:rFonts w:ascii="Arial Narrow" w:hAnsi="Arial Narrow"/>
                <w:sz w:val="20"/>
              </w:rPr>
              <w:t xml:space="preserve">if applicable, </w:t>
            </w:r>
            <w:r w:rsidR="004961DE" w:rsidRPr="0043415D">
              <w:rPr>
                <w:rFonts w:ascii="Arial Narrow" w:hAnsi="Arial Narrow"/>
                <w:sz w:val="20"/>
              </w:rPr>
              <w:t>any other NSP</w:t>
            </w:r>
            <w:r w:rsidRPr="0043415D">
              <w:rPr>
                <w:rFonts w:ascii="Arial Narrow" w:hAnsi="Arial Narrow"/>
                <w:sz w:val="20"/>
              </w:rPr>
              <w:t xml:space="preserve"> operating Network Delivery Components for the proposed Service,</w:t>
            </w:r>
          </w:p>
          <w:p w14:paraId="05799940" w14:textId="37463957" w:rsidR="00BD7077" w:rsidRPr="0043415D" w:rsidRDefault="00BD7077" w:rsidP="0043415D">
            <w:pPr>
              <w:spacing w:after="220"/>
              <w:ind w:left="46"/>
              <w:rPr>
                <w:rFonts w:ascii="Arial Narrow" w:hAnsi="Arial Narrow"/>
                <w:sz w:val="20"/>
              </w:rPr>
            </w:pPr>
            <w:r w:rsidRPr="0043415D">
              <w:rPr>
                <w:rFonts w:ascii="Arial Narrow" w:hAnsi="Arial Narrow"/>
                <w:sz w:val="20"/>
              </w:rPr>
              <w:t xml:space="preserve">to allow: </w:t>
            </w:r>
          </w:p>
          <w:p w14:paraId="24F8E08D" w14:textId="1125C68E" w:rsidR="00BD7077" w:rsidRPr="0043415D" w:rsidRDefault="00BD7077" w:rsidP="0072709B">
            <w:pPr>
              <w:pStyle w:val="ListParagraph"/>
              <w:numPr>
                <w:ilvl w:val="0"/>
                <w:numId w:val="12"/>
              </w:numPr>
              <w:spacing w:after="220"/>
              <w:rPr>
                <w:rFonts w:ascii="Arial Narrow" w:hAnsi="Arial Narrow"/>
                <w:sz w:val="20"/>
              </w:rPr>
            </w:pPr>
            <w:r w:rsidRPr="0043415D">
              <w:rPr>
                <w:rFonts w:ascii="Arial Narrow" w:hAnsi="Arial Narrow"/>
                <w:sz w:val="20"/>
              </w:rPr>
              <w:t>The provision of the Service</w:t>
            </w:r>
          </w:p>
          <w:p w14:paraId="7ACB52D1" w14:textId="77777777" w:rsidR="00BD7077" w:rsidRPr="0043415D" w:rsidRDefault="00BD7077" w:rsidP="0072709B">
            <w:pPr>
              <w:pStyle w:val="ListParagraph"/>
              <w:numPr>
                <w:ilvl w:val="0"/>
                <w:numId w:val="12"/>
              </w:numPr>
              <w:spacing w:after="220"/>
              <w:rPr>
                <w:rStyle w:val="BodyTextChar"/>
                <w:sz w:val="20"/>
                <w:szCs w:val="20"/>
              </w:rPr>
            </w:pPr>
            <w:r w:rsidRPr="0043415D">
              <w:rPr>
                <w:rFonts w:ascii="Arial Narrow" w:hAnsi="Arial Narrow"/>
                <w:sz w:val="20"/>
              </w:rPr>
              <w:t>Testing of the Service both for the procurement process and during the term of any subsequent SRAS Agreement</w:t>
            </w:r>
          </w:p>
        </w:tc>
        <w:tc>
          <w:tcPr>
            <w:tcW w:w="4819" w:type="dxa"/>
          </w:tcPr>
          <w:p w14:paraId="653514B5" w14:textId="77777777" w:rsidR="00BD7077" w:rsidRPr="007D512F" w:rsidRDefault="00BD7077" w:rsidP="00E767B6">
            <w:pPr>
              <w:rPr>
                <w:rStyle w:val="BodyTextChar"/>
                <w:sz w:val="20"/>
                <w:szCs w:val="20"/>
              </w:rPr>
            </w:pPr>
          </w:p>
        </w:tc>
      </w:tr>
      <w:tr w:rsidR="00BD7077" w:rsidRPr="007D512F" w14:paraId="7342B211" w14:textId="77777777" w:rsidTr="00BD7077">
        <w:tc>
          <w:tcPr>
            <w:tcW w:w="4678" w:type="dxa"/>
          </w:tcPr>
          <w:p w14:paraId="7EB00C9B" w14:textId="4C486649" w:rsidR="00BD7077" w:rsidRPr="0043415D" w:rsidRDefault="00BD7077" w:rsidP="00E767B6">
            <w:pPr>
              <w:rPr>
                <w:rStyle w:val="BodyTextChar"/>
                <w:sz w:val="20"/>
                <w:szCs w:val="20"/>
              </w:rPr>
            </w:pPr>
            <w:r w:rsidRPr="0043415D">
              <w:rPr>
                <w:rStyle w:val="BodyTextChar"/>
                <w:sz w:val="20"/>
                <w:szCs w:val="20"/>
              </w:rPr>
              <w:t>If there are no documented arrangements in place:</w:t>
            </w:r>
          </w:p>
          <w:p w14:paraId="42E08C2C" w14:textId="6C142E23" w:rsidR="00BD7077" w:rsidRPr="0043415D" w:rsidRDefault="00BD7077" w:rsidP="0072709B">
            <w:pPr>
              <w:pStyle w:val="ListParagraph"/>
              <w:numPr>
                <w:ilvl w:val="0"/>
                <w:numId w:val="13"/>
              </w:numPr>
              <w:rPr>
                <w:rStyle w:val="BodyTextChar"/>
                <w:sz w:val="20"/>
                <w:szCs w:val="20"/>
              </w:rPr>
            </w:pPr>
            <w:r w:rsidRPr="0043415D">
              <w:rPr>
                <w:rStyle w:val="BodyTextChar"/>
                <w:sz w:val="20"/>
                <w:szCs w:val="20"/>
              </w:rPr>
              <w:t>Has the TNSP indicated its agreement to facilitate the provision of the service?</w:t>
            </w:r>
          </w:p>
          <w:p w14:paraId="3B6E432F" w14:textId="77777777" w:rsidR="00BD7077" w:rsidRPr="0043415D" w:rsidRDefault="00BD7077" w:rsidP="0072709B">
            <w:pPr>
              <w:pStyle w:val="ListParagraph"/>
              <w:numPr>
                <w:ilvl w:val="0"/>
                <w:numId w:val="13"/>
              </w:numPr>
              <w:rPr>
                <w:rStyle w:val="BodyTextChar"/>
                <w:sz w:val="20"/>
                <w:szCs w:val="20"/>
              </w:rPr>
            </w:pPr>
            <w:r w:rsidRPr="0043415D">
              <w:rPr>
                <w:rStyle w:val="BodyTextChar"/>
                <w:sz w:val="20"/>
                <w:szCs w:val="20"/>
              </w:rPr>
              <w:t xml:space="preserve">What process will the Tenderer follow to put documented arrangements in place (including timelines)? </w:t>
            </w:r>
          </w:p>
        </w:tc>
        <w:tc>
          <w:tcPr>
            <w:tcW w:w="4819" w:type="dxa"/>
          </w:tcPr>
          <w:p w14:paraId="10143BB1" w14:textId="77777777" w:rsidR="00BD7077" w:rsidRPr="007D512F" w:rsidRDefault="00BD7077" w:rsidP="00E767B6">
            <w:pPr>
              <w:rPr>
                <w:rStyle w:val="BodyTextChar"/>
                <w:sz w:val="20"/>
                <w:szCs w:val="20"/>
              </w:rPr>
            </w:pPr>
          </w:p>
        </w:tc>
      </w:tr>
    </w:tbl>
    <w:p w14:paraId="60B61BED" w14:textId="2B9CEC7F" w:rsidR="002D453D" w:rsidRPr="00BD7077" w:rsidRDefault="002D453D" w:rsidP="0072709B">
      <w:pPr>
        <w:pStyle w:val="ListParagraph"/>
        <w:numPr>
          <w:ilvl w:val="6"/>
          <w:numId w:val="9"/>
        </w:numPr>
        <w:spacing w:after="220"/>
        <w:ind w:left="567" w:hanging="567"/>
        <w:rPr>
          <w:rFonts w:ascii="Arial Narrow" w:hAnsi="Arial Narrow"/>
          <w:b/>
        </w:rPr>
      </w:pPr>
      <w:r w:rsidRPr="00BD7077">
        <w:rPr>
          <w:rFonts w:ascii="Arial Narrow" w:hAnsi="Arial Narrow"/>
          <w:b/>
        </w:rPr>
        <w:t>Arrangements for SRAS Third Party Assets</w:t>
      </w:r>
    </w:p>
    <w:p w14:paraId="455A46B6" w14:textId="77777777" w:rsidR="00F505A4" w:rsidRDefault="002D453D" w:rsidP="00F505A4">
      <w:pPr>
        <w:tabs>
          <w:tab w:val="right" w:pos="9071"/>
        </w:tabs>
        <w:spacing w:after="220"/>
        <w:rPr>
          <w:rFonts w:ascii="Arial Narrow" w:hAnsi="Arial Narrow"/>
        </w:rPr>
      </w:pPr>
      <w:r>
        <w:rPr>
          <w:rFonts w:ascii="Arial Narrow" w:hAnsi="Arial Narrow"/>
        </w:rPr>
        <w:t>If the SRAS Equipment includes SRAS Third Party Assets</w:t>
      </w:r>
      <w:r w:rsidR="00F505A4">
        <w:rPr>
          <w:rFonts w:ascii="Arial Narrow" w:hAnsi="Arial Narrow"/>
        </w:rPr>
        <w:t>, please provide the following information:</w:t>
      </w:r>
    </w:p>
    <w:tbl>
      <w:tblPr>
        <w:tblStyle w:val="TableGrid"/>
        <w:tblW w:w="9526" w:type="dxa"/>
        <w:tblInd w:w="108" w:type="dxa"/>
        <w:tblLook w:val="04A0" w:firstRow="1" w:lastRow="0" w:firstColumn="1" w:lastColumn="0" w:noHBand="0" w:noVBand="1"/>
      </w:tblPr>
      <w:tblGrid>
        <w:gridCol w:w="4707"/>
        <w:gridCol w:w="4819"/>
      </w:tblGrid>
      <w:tr w:rsidR="00F505A4" w:rsidRPr="007D512F" w14:paraId="5C67620A" w14:textId="77777777" w:rsidTr="00613382">
        <w:trPr>
          <w:tblHeader/>
        </w:trPr>
        <w:tc>
          <w:tcPr>
            <w:tcW w:w="4707" w:type="dxa"/>
            <w:shd w:val="clear" w:color="auto" w:fill="F2F2F2" w:themeFill="background1" w:themeFillShade="F2"/>
          </w:tcPr>
          <w:p w14:paraId="3357985F" w14:textId="77777777" w:rsidR="00F505A4" w:rsidRPr="007D512F" w:rsidRDefault="00F505A4" w:rsidP="00E767B6">
            <w:pPr>
              <w:pStyle w:val="Indent2"/>
              <w:numPr>
                <w:ilvl w:val="0"/>
                <w:numId w:val="0"/>
              </w:numPr>
              <w:tabs>
                <w:tab w:val="right" w:pos="2726"/>
              </w:tabs>
              <w:spacing w:before="60" w:after="60"/>
              <w:ind w:left="142"/>
              <w:rPr>
                <w:rFonts w:ascii="Arial Narrow" w:hAnsi="Arial Narrow"/>
                <w:sz w:val="20"/>
              </w:rPr>
            </w:pPr>
            <w:r w:rsidRPr="007D512F">
              <w:rPr>
                <w:rFonts w:ascii="Arial Narrow" w:hAnsi="Arial Narrow" w:cs="Arial"/>
                <w:b/>
                <w:sz w:val="20"/>
              </w:rPr>
              <w:t>Requirement</w:t>
            </w:r>
          </w:p>
        </w:tc>
        <w:tc>
          <w:tcPr>
            <w:tcW w:w="4819" w:type="dxa"/>
            <w:shd w:val="clear" w:color="auto" w:fill="F2F2F2" w:themeFill="background1" w:themeFillShade="F2"/>
          </w:tcPr>
          <w:p w14:paraId="427D4FB3" w14:textId="77777777" w:rsidR="00F505A4" w:rsidRPr="00BA066D" w:rsidRDefault="00F505A4" w:rsidP="00E767B6">
            <w:pPr>
              <w:pStyle w:val="Indent2"/>
              <w:numPr>
                <w:ilvl w:val="0"/>
                <w:numId w:val="0"/>
              </w:numPr>
              <w:tabs>
                <w:tab w:val="right" w:pos="2726"/>
              </w:tabs>
              <w:spacing w:before="60" w:after="60"/>
              <w:ind w:left="142"/>
              <w:rPr>
                <w:rFonts w:ascii="Arial Narrow" w:hAnsi="Arial Narrow" w:cs="Arial"/>
                <w:b/>
                <w:sz w:val="20"/>
              </w:rPr>
            </w:pPr>
            <w:r w:rsidRPr="00BA066D">
              <w:rPr>
                <w:rFonts w:ascii="Arial Narrow" w:hAnsi="Arial Narrow" w:cs="Arial"/>
                <w:b/>
                <w:sz w:val="20"/>
              </w:rPr>
              <w:t>Description/Response</w:t>
            </w:r>
          </w:p>
        </w:tc>
      </w:tr>
      <w:tr w:rsidR="00F505A4" w:rsidRPr="007D512F" w14:paraId="0DF051D1" w14:textId="77777777" w:rsidTr="007416D0">
        <w:tc>
          <w:tcPr>
            <w:tcW w:w="4707" w:type="dxa"/>
          </w:tcPr>
          <w:p w14:paraId="0528F593" w14:textId="77777777" w:rsidR="00F505A4" w:rsidRPr="0043415D" w:rsidRDefault="00F505A4" w:rsidP="00E767B6">
            <w:pPr>
              <w:spacing w:after="220"/>
              <w:ind w:left="46"/>
              <w:rPr>
                <w:rFonts w:ascii="Arial Narrow" w:hAnsi="Arial Narrow"/>
                <w:sz w:val="20"/>
              </w:rPr>
            </w:pPr>
            <w:r w:rsidRPr="0043415D">
              <w:rPr>
                <w:rFonts w:ascii="Arial Narrow" w:hAnsi="Arial Narrow"/>
                <w:sz w:val="20"/>
              </w:rPr>
              <w:t xml:space="preserve">Describe the documented arrangements in place between the Tenderer and the </w:t>
            </w:r>
            <w:r w:rsidR="00981DDD" w:rsidRPr="0043415D">
              <w:rPr>
                <w:rFonts w:ascii="Arial Narrow" w:hAnsi="Arial Narrow"/>
                <w:sz w:val="20"/>
              </w:rPr>
              <w:t>owner(s) of the SRAS Third Party Assets t</w:t>
            </w:r>
            <w:r w:rsidRPr="0043415D">
              <w:rPr>
                <w:rFonts w:ascii="Arial Narrow" w:hAnsi="Arial Narrow"/>
                <w:sz w:val="20"/>
              </w:rPr>
              <w:t xml:space="preserve">o allow: </w:t>
            </w:r>
          </w:p>
          <w:p w14:paraId="0F61B703" w14:textId="77777777" w:rsidR="00F505A4" w:rsidRPr="0043415D" w:rsidRDefault="00F505A4" w:rsidP="0072709B">
            <w:pPr>
              <w:pStyle w:val="ListParagraph"/>
              <w:numPr>
                <w:ilvl w:val="0"/>
                <w:numId w:val="12"/>
              </w:numPr>
              <w:spacing w:after="220"/>
              <w:rPr>
                <w:rFonts w:ascii="Arial Narrow" w:hAnsi="Arial Narrow"/>
                <w:sz w:val="20"/>
              </w:rPr>
            </w:pPr>
            <w:r w:rsidRPr="0043415D">
              <w:rPr>
                <w:rFonts w:ascii="Arial Narrow" w:hAnsi="Arial Narrow"/>
                <w:sz w:val="20"/>
              </w:rPr>
              <w:t>The provision of the Service</w:t>
            </w:r>
          </w:p>
          <w:p w14:paraId="32B6A0D1" w14:textId="77777777" w:rsidR="00F505A4" w:rsidRPr="0043415D" w:rsidRDefault="00F505A4" w:rsidP="0072709B">
            <w:pPr>
              <w:pStyle w:val="ListParagraph"/>
              <w:numPr>
                <w:ilvl w:val="0"/>
                <w:numId w:val="12"/>
              </w:numPr>
              <w:spacing w:after="220"/>
              <w:rPr>
                <w:rStyle w:val="BodyTextChar"/>
                <w:sz w:val="20"/>
                <w:szCs w:val="20"/>
              </w:rPr>
            </w:pPr>
            <w:r w:rsidRPr="0043415D">
              <w:rPr>
                <w:rFonts w:ascii="Arial Narrow" w:hAnsi="Arial Narrow"/>
                <w:sz w:val="20"/>
              </w:rPr>
              <w:t>Testing of the Service both for the procurement process and during the term of any subsequent SRAS Agreement</w:t>
            </w:r>
          </w:p>
        </w:tc>
        <w:tc>
          <w:tcPr>
            <w:tcW w:w="4819" w:type="dxa"/>
          </w:tcPr>
          <w:p w14:paraId="23444AA5" w14:textId="77777777" w:rsidR="00F505A4" w:rsidRPr="007D512F" w:rsidRDefault="00F505A4" w:rsidP="00E767B6">
            <w:pPr>
              <w:rPr>
                <w:rStyle w:val="BodyTextChar"/>
                <w:sz w:val="20"/>
                <w:szCs w:val="20"/>
              </w:rPr>
            </w:pPr>
          </w:p>
        </w:tc>
      </w:tr>
      <w:tr w:rsidR="00F505A4" w:rsidRPr="007D512F" w14:paraId="71AA6C11" w14:textId="77777777" w:rsidTr="007416D0">
        <w:tc>
          <w:tcPr>
            <w:tcW w:w="4707" w:type="dxa"/>
          </w:tcPr>
          <w:p w14:paraId="577F8967" w14:textId="77777777" w:rsidR="00F505A4" w:rsidRPr="0043415D" w:rsidRDefault="00F505A4" w:rsidP="00E767B6">
            <w:pPr>
              <w:rPr>
                <w:rStyle w:val="BodyTextChar"/>
                <w:sz w:val="20"/>
                <w:szCs w:val="20"/>
              </w:rPr>
            </w:pPr>
            <w:r w:rsidRPr="0043415D">
              <w:rPr>
                <w:rStyle w:val="BodyTextChar"/>
                <w:sz w:val="20"/>
                <w:szCs w:val="20"/>
              </w:rPr>
              <w:t>If there are no documented arrangements in place:</w:t>
            </w:r>
          </w:p>
          <w:p w14:paraId="52C72363" w14:textId="77777777" w:rsidR="00F505A4" w:rsidRPr="0043415D" w:rsidRDefault="00F505A4" w:rsidP="0072709B">
            <w:pPr>
              <w:pStyle w:val="ListParagraph"/>
              <w:numPr>
                <w:ilvl w:val="0"/>
                <w:numId w:val="13"/>
              </w:numPr>
              <w:rPr>
                <w:rStyle w:val="BodyTextChar"/>
                <w:sz w:val="20"/>
                <w:szCs w:val="20"/>
              </w:rPr>
            </w:pPr>
            <w:r w:rsidRPr="0043415D">
              <w:rPr>
                <w:rStyle w:val="BodyTextChar"/>
                <w:sz w:val="20"/>
                <w:szCs w:val="20"/>
              </w:rPr>
              <w:t xml:space="preserve">Has the </w:t>
            </w:r>
            <w:r w:rsidR="00FB5561" w:rsidRPr="0043415D">
              <w:rPr>
                <w:rStyle w:val="BodyTextChar"/>
                <w:sz w:val="20"/>
                <w:szCs w:val="20"/>
              </w:rPr>
              <w:t>relevant asset owner(s)</w:t>
            </w:r>
            <w:r w:rsidRPr="0043415D">
              <w:rPr>
                <w:rStyle w:val="BodyTextChar"/>
                <w:sz w:val="20"/>
                <w:szCs w:val="20"/>
              </w:rPr>
              <w:t xml:space="preserve"> indicated agreement to facilitate the provision of the service?</w:t>
            </w:r>
          </w:p>
          <w:p w14:paraId="3CA5672E" w14:textId="77777777" w:rsidR="00F505A4" w:rsidRPr="0043415D" w:rsidRDefault="00F505A4" w:rsidP="0072709B">
            <w:pPr>
              <w:pStyle w:val="ListParagraph"/>
              <w:numPr>
                <w:ilvl w:val="0"/>
                <w:numId w:val="13"/>
              </w:numPr>
              <w:rPr>
                <w:rStyle w:val="BodyTextChar"/>
                <w:sz w:val="20"/>
                <w:szCs w:val="20"/>
              </w:rPr>
            </w:pPr>
            <w:r w:rsidRPr="0043415D">
              <w:rPr>
                <w:rStyle w:val="BodyTextChar"/>
                <w:sz w:val="20"/>
                <w:szCs w:val="20"/>
              </w:rPr>
              <w:t xml:space="preserve">What process will the Tenderer follow to put documented arrangements in place (including timelines)? </w:t>
            </w:r>
          </w:p>
        </w:tc>
        <w:tc>
          <w:tcPr>
            <w:tcW w:w="4819" w:type="dxa"/>
          </w:tcPr>
          <w:p w14:paraId="30741DDD" w14:textId="77777777" w:rsidR="00F505A4" w:rsidRPr="007D512F" w:rsidRDefault="00F505A4" w:rsidP="00E767B6">
            <w:pPr>
              <w:rPr>
                <w:rStyle w:val="BodyTextChar"/>
                <w:sz w:val="20"/>
                <w:szCs w:val="20"/>
              </w:rPr>
            </w:pPr>
          </w:p>
        </w:tc>
      </w:tr>
    </w:tbl>
    <w:p w14:paraId="3200BEA3" w14:textId="432D57BF" w:rsidR="00981DDD" w:rsidRPr="00BD7077" w:rsidRDefault="00981DDD" w:rsidP="0072709B">
      <w:pPr>
        <w:pStyle w:val="ListParagraph"/>
        <w:keepNext/>
        <w:numPr>
          <w:ilvl w:val="6"/>
          <w:numId w:val="9"/>
        </w:numPr>
        <w:spacing w:after="220"/>
        <w:ind w:left="567" w:hanging="567"/>
        <w:rPr>
          <w:rFonts w:ascii="Arial Narrow" w:hAnsi="Arial Narrow"/>
          <w:b/>
        </w:rPr>
      </w:pPr>
      <w:r w:rsidRPr="00BD7077">
        <w:rPr>
          <w:rFonts w:ascii="Arial Narrow" w:hAnsi="Arial Narrow"/>
          <w:b/>
        </w:rPr>
        <w:lastRenderedPageBreak/>
        <w:t>Testing information</w:t>
      </w:r>
    </w:p>
    <w:tbl>
      <w:tblPr>
        <w:tblStyle w:val="TableGrid"/>
        <w:tblW w:w="9101" w:type="dxa"/>
        <w:tblInd w:w="108" w:type="dxa"/>
        <w:tblLook w:val="04A0" w:firstRow="1" w:lastRow="0" w:firstColumn="1" w:lastColumn="0" w:noHBand="0" w:noVBand="1"/>
      </w:tblPr>
      <w:tblGrid>
        <w:gridCol w:w="4904"/>
        <w:gridCol w:w="4197"/>
      </w:tblGrid>
      <w:tr w:rsidR="00981DDD" w:rsidRPr="007D512F" w14:paraId="62359D06" w14:textId="77777777" w:rsidTr="00613382">
        <w:trPr>
          <w:tblHeader/>
        </w:trPr>
        <w:tc>
          <w:tcPr>
            <w:tcW w:w="4904" w:type="dxa"/>
            <w:shd w:val="clear" w:color="auto" w:fill="F2F2F2" w:themeFill="background1" w:themeFillShade="F2"/>
          </w:tcPr>
          <w:p w14:paraId="619E53CC" w14:textId="77777777" w:rsidR="00981DDD" w:rsidRPr="007D512F" w:rsidRDefault="00981DDD" w:rsidP="00E767B6">
            <w:pPr>
              <w:pStyle w:val="Indent2"/>
              <w:numPr>
                <w:ilvl w:val="0"/>
                <w:numId w:val="0"/>
              </w:numPr>
              <w:tabs>
                <w:tab w:val="right" w:pos="2726"/>
              </w:tabs>
              <w:spacing w:before="60" w:after="60"/>
              <w:ind w:left="142"/>
              <w:rPr>
                <w:rFonts w:ascii="Arial Narrow" w:hAnsi="Arial Narrow"/>
                <w:sz w:val="20"/>
              </w:rPr>
            </w:pPr>
            <w:r w:rsidRPr="007D512F">
              <w:rPr>
                <w:rFonts w:ascii="Arial Narrow" w:hAnsi="Arial Narrow" w:cs="Arial"/>
                <w:b/>
                <w:sz w:val="20"/>
              </w:rPr>
              <w:t>Requirement</w:t>
            </w:r>
          </w:p>
        </w:tc>
        <w:tc>
          <w:tcPr>
            <w:tcW w:w="4197" w:type="dxa"/>
            <w:shd w:val="clear" w:color="auto" w:fill="F2F2F2" w:themeFill="background1" w:themeFillShade="F2"/>
          </w:tcPr>
          <w:p w14:paraId="1201981F" w14:textId="77777777" w:rsidR="00981DDD" w:rsidRPr="00BA066D" w:rsidRDefault="00981DDD" w:rsidP="00E767B6">
            <w:pPr>
              <w:pStyle w:val="Indent2"/>
              <w:numPr>
                <w:ilvl w:val="0"/>
                <w:numId w:val="0"/>
              </w:numPr>
              <w:tabs>
                <w:tab w:val="right" w:pos="2726"/>
              </w:tabs>
              <w:spacing w:before="60" w:after="60"/>
              <w:ind w:left="142"/>
              <w:rPr>
                <w:rFonts w:ascii="Arial Narrow" w:hAnsi="Arial Narrow" w:cs="Arial"/>
                <w:b/>
                <w:sz w:val="20"/>
              </w:rPr>
            </w:pPr>
            <w:r w:rsidRPr="00BA066D">
              <w:rPr>
                <w:rFonts w:ascii="Arial Narrow" w:hAnsi="Arial Narrow" w:cs="Arial"/>
                <w:b/>
                <w:sz w:val="20"/>
              </w:rPr>
              <w:t>Description/Response</w:t>
            </w:r>
          </w:p>
        </w:tc>
      </w:tr>
      <w:tr w:rsidR="00981DDD" w:rsidRPr="007D512F" w14:paraId="5E369CA2" w14:textId="77777777" w:rsidTr="3635EE88">
        <w:tc>
          <w:tcPr>
            <w:tcW w:w="4904" w:type="dxa"/>
          </w:tcPr>
          <w:p w14:paraId="7048D8C3" w14:textId="35B09BC3" w:rsidR="00400701" w:rsidRDefault="00981DDD" w:rsidP="00400701">
            <w:pPr>
              <w:spacing w:after="220"/>
              <w:rPr>
                <w:rStyle w:val="BodyTextChar"/>
                <w:sz w:val="20"/>
                <w:szCs w:val="20"/>
              </w:rPr>
            </w:pPr>
            <w:r w:rsidRPr="00981DDD">
              <w:rPr>
                <w:rStyle w:val="BodyTextChar"/>
                <w:sz w:val="20"/>
                <w:szCs w:val="20"/>
              </w:rPr>
              <w:t>Is there a current Test Procedure that meets the requirements of the SRAS Guideline?</w:t>
            </w:r>
            <w:r w:rsidR="00FB5561">
              <w:rPr>
                <w:rStyle w:val="BodyTextChar"/>
                <w:sz w:val="20"/>
                <w:szCs w:val="20"/>
              </w:rPr>
              <w:t xml:space="preserve"> Note the</w:t>
            </w:r>
            <w:r w:rsidR="00400701">
              <w:rPr>
                <w:rStyle w:val="BodyTextChar"/>
                <w:sz w:val="20"/>
                <w:szCs w:val="20"/>
              </w:rPr>
              <w:t>se requirements include:</w:t>
            </w:r>
          </w:p>
          <w:p w14:paraId="3DD5DF1F" w14:textId="63FE0E4A" w:rsidR="00981DDD" w:rsidRPr="00FB5561" w:rsidRDefault="00400701" w:rsidP="00400701">
            <w:pPr>
              <w:spacing w:after="220"/>
              <w:rPr>
                <w:rStyle w:val="BodyTextChar"/>
                <w:sz w:val="20"/>
                <w:szCs w:val="20"/>
                <w:lang w:val="en-US"/>
              </w:rPr>
            </w:pPr>
            <w:r>
              <w:rPr>
                <w:rStyle w:val="BodyTextChar"/>
                <w:sz w:val="20"/>
                <w:szCs w:val="20"/>
              </w:rPr>
              <w:t xml:space="preserve">Test Procedure must be endorsed by </w:t>
            </w:r>
            <w:r w:rsidR="00FB5561">
              <w:rPr>
                <w:rStyle w:val="BodyTextChar"/>
                <w:sz w:val="20"/>
                <w:szCs w:val="20"/>
              </w:rPr>
              <w:t>the TNSP</w:t>
            </w:r>
            <w:r w:rsidR="0043415D">
              <w:rPr>
                <w:rStyle w:val="BodyTextChar"/>
                <w:sz w:val="20"/>
                <w:szCs w:val="20"/>
              </w:rPr>
              <w:t>, any other relevant NSP</w:t>
            </w:r>
            <w:r w:rsidR="00FB5561">
              <w:rPr>
                <w:rStyle w:val="BodyTextChar"/>
                <w:sz w:val="20"/>
                <w:szCs w:val="20"/>
              </w:rPr>
              <w:t xml:space="preserve"> and any owner of SRAS Third Party Assets, and identification of any differences between the test procedure and the process that would occur following a </w:t>
            </w:r>
            <w:r w:rsidR="00FB5561">
              <w:rPr>
                <w:rStyle w:val="BodyTextChar"/>
                <w:i/>
                <w:sz w:val="20"/>
                <w:szCs w:val="20"/>
              </w:rPr>
              <w:t>major supply disruption</w:t>
            </w:r>
            <w:r w:rsidR="00FB5561">
              <w:rPr>
                <w:rStyle w:val="BodyTextChar"/>
                <w:sz w:val="20"/>
                <w:szCs w:val="20"/>
              </w:rPr>
              <w:t>.</w:t>
            </w:r>
          </w:p>
        </w:tc>
        <w:tc>
          <w:tcPr>
            <w:tcW w:w="4197" w:type="dxa"/>
          </w:tcPr>
          <w:p w14:paraId="50DD9056" w14:textId="77777777" w:rsidR="00981DDD" w:rsidRDefault="00981DDD" w:rsidP="00981DDD">
            <w:pPr>
              <w:rPr>
                <w:rStyle w:val="BodyTextChar"/>
                <w:sz w:val="20"/>
                <w:szCs w:val="20"/>
              </w:rPr>
            </w:pPr>
            <w:r>
              <w:rPr>
                <w:rStyle w:val="BodyTextChar"/>
                <w:sz w:val="20"/>
                <w:szCs w:val="20"/>
              </w:rPr>
              <w:t>[</w:t>
            </w:r>
            <w:r w:rsidRPr="00D858B0">
              <w:rPr>
                <w:rStyle w:val="BodyTextChar"/>
                <w:i/>
                <w:sz w:val="20"/>
                <w:szCs w:val="20"/>
              </w:rPr>
              <w:t>Delete inapplicable responses</w:t>
            </w:r>
            <w:r>
              <w:rPr>
                <w:rStyle w:val="BodyTextChar"/>
                <w:sz w:val="20"/>
                <w:szCs w:val="20"/>
              </w:rPr>
              <w:t>]</w:t>
            </w:r>
          </w:p>
          <w:p w14:paraId="5EF7188B" w14:textId="77777777" w:rsidR="00981DDD" w:rsidRDefault="00981DDD" w:rsidP="00981DDD">
            <w:pPr>
              <w:rPr>
                <w:rStyle w:val="BodyTextChar"/>
                <w:sz w:val="20"/>
                <w:szCs w:val="20"/>
              </w:rPr>
            </w:pPr>
            <w:r>
              <w:rPr>
                <w:rStyle w:val="BodyTextChar"/>
                <w:sz w:val="20"/>
                <w:szCs w:val="20"/>
              </w:rPr>
              <w:t>Yes – copy attached</w:t>
            </w:r>
          </w:p>
          <w:p w14:paraId="48757C84" w14:textId="77777777" w:rsidR="00981DDD" w:rsidRPr="007D512F" w:rsidRDefault="00981DDD" w:rsidP="00981DDD">
            <w:pPr>
              <w:rPr>
                <w:rStyle w:val="BodyTextChar"/>
                <w:sz w:val="20"/>
                <w:szCs w:val="20"/>
              </w:rPr>
            </w:pPr>
            <w:r>
              <w:rPr>
                <w:rStyle w:val="BodyTextChar"/>
                <w:sz w:val="20"/>
                <w:szCs w:val="20"/>
              </w:rPr>
              <w:t>No – to be submitted to AEMO by [insert date]</w:t>
            </w:r>
          </w:p>
        </w:tc>
      </w:tr>
      <w:tr w:rsidR="00981DDD" w:rsidRPr="007D512F" w14:paraId="34127A22" w14:textId="77777777" w:rsidTr="3635EE88">
        <w:tc>
          <w:tcPr>
            <w:tcW w:w="4904" w:type="dxa"/>
          </w:tcPr>
          <w:p w14:paraId="3143DE8E" w14:textId="3A89EEC0" w:rsidR="00685703" w:rsidRDefault="009A2A16" w:rsidP="00685703">
            <w:pPr>
              <w:rPr>
                <w:rStyle w:val="BodyTextChar"/>
                <w:sz w:val="20"/>
                <w:szCs w:val="20"/>
              </w:rPr>
            </w:pPr>
            <w:r>
              <w:rPr>
                <w:rStyle w:val="BodyTextChar"/>
                <w:sz w:val="20"/>
                <w:szCs w:val="20"/>
              </w:rPr>
              <w:t xml:space="preserve">Has the SRAS been </w:t>
            </w:r>
            <w:r w:rsidR="00685703" w:rsidRPr="00685703">
              <w:rPr>
                <w:rStyle w:val="BodyTextChar"/>
                <w:sz w:val="20"/>
                <w:szCs w:val="20"/>
              </w:rPr>
              <w:t xml:space="preserve">successfully demonstrated by an SRAS Test within the 6 months prior </w:t>
            </w:r>
            <w:r w:rsidR="00B37106">
              <w:rPr>
                <w:rStyle w:val="BodyTextChar"/>
                <w:sz w:val="20"/>
                <w:szCs w:val="20"/>
              </w:rPr>
              <w:t>to this procurement</w:t>
            </w:r>
            <w:r w:rsidR="004855F8">
              <w:rPr>
                <w:rStyle w:val="BodyTextChar"/>
                <w:sz w:val="20"/>
                <w:szCs w:val="20"/>
              </w:rPr>
              <w:t>, as evidence by an SRAS test report</w:t>
            </w:r>
            <w:r w:rsidR="00B37106">
              <w:rPr>
                <w:rStyle w:val="BodyTextChar"/>
                <w:sz w:val="20"/>
                <w:szCs w:val="20"/>
              </w:rPr>
              <w:t xml:space="preserve">? </w:t>
            </w:r>
          </w:p>
          <w:p w14:paraId="3531F2FA" w14:textId="77777777" w:rsidR="00981DDD" w:rsidRDefault="004832C0" w:rsidP="00685703">
            <w:pPr>
              <w:rPr>
                <w:rStyle w:val="BodyTextChar"/>
                <w:sz w:val="20"/>
                <w:szCs w:val="20"/>
              </w:rPr>
            </w:pPr>
            <w:r>
              <w:rPr>
                <w:rStyle w:val="BodyTextChar"/>
                <w:sz w:val="20"/>
                <w:szCs w:val="20"/>
              </w:rPr>
              <w:t>If not s</w:t>
            </w:r>
            <w:r w:rsidRPr="3635EE88">
              <w:rPr>
                <w:rStyle w:val="BodyTextChar"/>
                <w:sz w:val="20"/>
                <w:szCs w:val="20"/>
              </w:rPr>
              <w:t xml:space="preserve">tate </w:t>
            </w:r>
            <w:r w:rsidR="004855F8">
              <w:rPr>
                <w:rStyle w:val="BodyTextChar"/>
                <w:sz w:val="20"/>
                <w:szCs w:val="20"/>
              </w:rPr>
              <w:t xml:space="preserve">the </w:t>
            </w:r>
            <w:r w:rsidRPr="3635EE88">
              <w:rPr>
                <w:rStyle w:val="BodyTextChar"/>
                <w:sz w:val="20"/>
                <w:szCs w:val="20"/>
              </w:rPr>
              <w:t xml:space="preserve">approximate date proposed for SRAS Test before </w:t>
            </w:r>
            <w:r w:rsidR="004855F8">
              <w:rPr>
                <w:rStyle w:val="BodyTextChar"/>
                <w:sz w:val="20"/>
                <w:szCs w:val="20"/>
              </w:rPr>
              <w:t>contract execution</w:t>
            </w:r>
            <w:r w:rsidRPr="3635EE88">
              <w:rPr>
                <w:rStyle w:val="BodyTextChar"/>
                <w:sz w:val="20"/>
                <w:szCs w:val="20"/>
              </w:rPr>
              <w:t>:</w:t>
            </w:r>
          </w:p>
          <w:p w14:paraId="7023D408" w14:textId="264BBEB7" w:rsidR="0074474C" w:rsidRPr="00FB5561" w:rsidRDefault="0074474C" w:rsidP="00685703">
            <w:pPr>
              <w:rPr>
                <w:rStyle w:val="BodyTextChar"/>
                <w:sz w:val="20"/>
                <w:szCs w:val="20"/>
              </w:rPr>
            </w:pPr>
            <w:r>
              <w:rPr>
                <w:rStyle w:val="BodyTextChar"/>
                <w:sz w:val="20"/>
                <w:szCs w:val="20"/>
              </w:rPr>
              <w:t xml:space="preserve">Award of any SRAS contract in subject to a satisfactory testing. </w:t>
            </w:r>
          </w:p>
        </w:tc>
        <w:tc>
          <w:tcPr>
            <w:tcW w:w="4197" w:type="dxa"/>
          </w:tcPr>
          <w:p w14:paraId="298A274D" w14:textId="77777777" w:rsidR="00981DDD" w:rsidRPr="007D512F" w:rsidRDefault="00981DDD" w:rsidP="00E767B6">
            <w:pPr>
              <w:rPr>
                <w:rStyle w:val="BodyTextChar"/>
                <w:sz w:val="20"/>
                <w:szCs w:val="20"/>
              </w:rPr>
            </w:pPr>
          </w:p>
        </w:tc>
      </w:tr>
    </w:tbl>
    <w:p w14:paraId="43E436EE" w14:textId="77777777" w:rsidR="00981DDD" w:rsidRDefault="00981DDD" w:rsidP="00981DDD">
      <w:pPr>
        <w:spacing w:after="220"/>
        <w:rPr>
          <w:rFonts w:ascii="Arial Narrow" w:hAnsi="Arial Narrow"/>
        </w:rPr>
      </w:pPr>
    </w:p>
    <w:p w14:paraId="251C145E" w14:textId="77777777" w:rsidR="00F505A4" w:rsidRDefault="00F505A4" w:rsidP="00F505A4">
      <w:pPr>
        <w:spacing w:after="220"/>
        <w:rPr>
          <w:rFonts w:ascii="Arial Narrow" w:hAnsi="Arial Narrow"/>
        </w:rPr>
      </w:pPr>
    </w:p>
    <w:p w14:paraId="41460DB3" w14:textId="77777777" w:rsidR="00F505A4" w:rsidRDefault="00F505A4" w:rsidP="00FB5561">
      <w:pPr>
        <w:tabs>
          <w:tab w:val="right" w:pos="9071"/>
        </w:tabs>
        <w:spacing w:after="220"/>
        <w:rPr>
          <w:rFonts w:ascii="Arial Narrow" w:hAnsi="Arial Narrow"/>
        </w:rPr>
      </w:pPr>
    </w:p>
    <w:p w14:paraId="378864AB" w14:textId="77777777" w:rsidR="00F505A4" w:rsidRPr="00A86692" w:rsidRDefault="00F505A4" w:rsidP="00B0763D">
      <w:pPr>
        <w:spacing w:after="220"/>
        <w:rPr>
          <w:rFonts w:ascii="Arial Narrow" w:hAnsi="Arial Narrow"/>
        </w:rPr>
      </w:pPr>
    </w:p>
    <w:p w14:paraId="068AC965" w14:textId="77777777" w:rsidR="00695E2A" w:rsidRPr="009F3F1B" w:rsidRDefault="003B11C2" w:rsidP="00695E2A">
      <w:pPr>
        <w:pStyle w:val="ITTScheduleHeading1"/>
        <w:shd w:val="clear" w:color="auto" w:fill="auto"/>
        <w:rPr>
          <w:rFonts w:ascii="Arial Narrow" w:hAnsi="Arial Narrow"/>
          <w:sz w:val="30"/>
          <w:szCs w:val="30"/>
        </w:rPr>
      </w:pPr>
      <w:bookmarkStart w:id="31" w:name="_Toc137014564"/>
      <w:bookmarkStart w:id="32" w:name="_Toc137442215"/>
      <w:bookmarkStart w:id="33" w:name="_Toc137014570"/>
      <w:bookmarkStart w:id="34" w:name="_Toc137442221"/>
      <w:bookmarkStart w:id="35" w:name="_Toc133844117"/>
      <w:r>
        <w:rPr>
          <w:rFonts w:ascii="Arial Narrow" w:hAnsi="Arial Narrow"/>
          <w:sz w:val="30"/>
          <w:szCs w:val="30"/>
        </w:rPr>
        <w:lastRenderedPageBreak/>
        <w:t>SCHEDULE 5</w:t>
      </w:r>
      <w:bookmarkEnd w:id="35"/>
    </w:p>
    <w:p w14:paraId="155CCFEE" w14:textId="77777777" w:rsidR="00695E2A" w:rsidRPr="00A86692" w:rsidRDefault="00695E2A" w:rsidP="00695E2A">
      <w:pPr>
        <w:spacing w:after="220"/>
        <w:rPr>
          <w:rFonts w:ascii="Arial Narrow" w:hAnsi="Arial Narrow"/>
        </w:rPr>
      </w:pPr>
    </w:p>
    <w:p w14:paraId="24A1A5B2" w14:textId="3EF95266" w:rsidR="00695E2A" w:rsidRDefault="00695E2A" w:rsidP="00695E2A">
      <w:pPr>
        <w:spacing w:after="220"/>
        <w:jc w:val="center"/>
        <w:rPr>
          <w:rFonts w:ascii="Arial Narrow" w:hAnsi="Arial Narrow" w:cs="Arial"/>
          <w:b/>
          <w:sz w:val="30"/>
          <w:szCs w:val="30"/>
        </w:rPr>
      </w:pPr>
      <w:r w:rsidRPr="009F3F1B">
        <w:rPr>
          <w:rFonts w:ascii="Arial Narrow" w:hAnsi="Arial Narrow" w:cs="Arial"/>
          <w:b/>
          <w:sz w:val="30"/>
          <w:szCs w:val="30"/>
        </w:rPr>
        <w:t>PROPOSED SRAS AGREEMENT</w:t>
      </w:r>
    </w:p>
    <w:p w14:paraId="685E5509" w14:textId="77777777" w:rsidR="000722E2" w:rsidRDefault="000722E2" w:rsidP="000722E2">
      <w:pPr>
        <w:pStyle w:val="TxtNum1"/>
        <w:numPr>
          <w:ilvl w:val="0"/>
          <w:numId w:val="0"/>
        </w:numPr>
        <w:ind w:left="709"/>
        <w:rPr>
          <w:rFonts w:ascii="Arial Narrow" w:hAnsi="Arial Narrow"/>
        </w:rPr>
      </w:pPr>
      <w:r>
        <w:rPr>
          <w:rFonts w:ascii="Arial Narrow" w:hAnsi="Arial Narrow"/>
        </w:rPr>
        <w:t xml:space="preserve">A marked-up copy of the proposed SRAS Agreement is to be attached if the Tenderer proposes any changes. All changes must be marked up in track changes mode. </w:t>
      </w:r>
    </w:p>
    <w:p w14:paraId="05F11D07" w14:textId="77777777" w:rsidR="003B2476" w:rsidRDefault="00FB5561" w:rsidP="000722E2">
      <w:pPr>
        <w:pStyle w:val="TxtNum1"/>
        <w:numPr>
          <w:ilvl w:val="0"/>
          <w:numId w:val="0"/>
        </w:numPr>
        <w:ind w:left="709"/>
        <w:rPr>
          <w:rFonts w:ascii="Arial Narrow" w:hAnsi="Arial Narrow"/>
        </w:rPr>
      </w:pPr>
      <w:r>
        <w:rPr>
          <w:rFonts w:ascii="Arial Narrow" w:hAnsi="Arial Narrow"/>
        </w:rPr>
        <w:t>If no changes are proposed, do not attach a copy.</w:t>
      </w:r>
      <w:bookmarkEnd w:id="31"/>
      <w:bookmarkEnd w:id="32"/>
      <w:bookmarkEnd w:id="33"/>
      <w:bookmarkEnd w:id="34"/>
    </w:p>
    <w:p w14:paraId="0983CCE0" w14:textId="77777777" w:rsidR="003B2476" w:rsidRDefault="003B2476">
      <w:pPr>
        <w:spacing w:before="0" w:after="0"/>
        <w:rPr>
          <w:rFonts w:ascii="Arial Narrow" w:eastAsiaTheme="minorHAnsi" w:hAnsi="Arial Narrow" w:cstheme="minorBidi"/>
          <w:szCs w:val="22"/>
        </w:rPr>
      </w:pPr>
      <w:r>
        <w:rPr>
          <w:rFonts w:ascii="Arial Narrow" w:hAnsi="Arial Narrow"/>
        </w:rPr>
        <w:br w:type="page"/>
      </w:r>
    </w:p>
    <w:p w14:paraId="47E2C3A7" w14:textId="71242501" w:rsidR="003B2476" w:rsidRPr="009F3F1B" w:rsidRDefault="00F9070E" w:rsidP="00172AFA">
      <w:pPr>
        <w:pStyle w:val="ITTScheduleHeading1"/>
        <w:shd w:val="clear" w:color="auto" w:fill="auto"/>
        <w:tabs>
          <w:tab w:val="center" w:pos="4535"/>
        </w:tabs>
        <w:jc w:val="left"/>
        <w:rPr>
          <w:rFonts w:ascii="Arial Narrow" w:hAnsi="Arial Narrow"/>
          <w:sz w:val="30"/>
          <w:szCs w:val="30"/>
        </w:rPr>
      </w:pPr>
      <w:r>
        <w:rPr>
          <w:rFonts w:ascii="Arial Narrow" w:hAnsi="Arial Narrow"/>
          <w:sz w:val="30"/>
          <w:szCs w:val="30"/>
        </w:rPr>
        <w:lastRenderedPageBreak/>
        <w:tab/>
      </w:r>
      <w:bookmarkStart w:id="36" w:name="_Toc133844118"/>
      <w:r w:rsidR="003B2476">
        <w:rPr>
          <w:rFonts w:ascii="Arial Narrow" w:hAnsi="Arial Narrow"/>
          <w:sz w:val="30"/>
          <w:szCs w:val="30"/>
        </w:rPr>
        <w:t>SCHEDULE 6</w:t>
      </w:r>
      <w:bookmarkEnd w:id="36"/>
    </w:p>
    <w:p w14:paraId="6503C668" w14:textId="05E95EBA" w:rsidR="007B293B" w:rsidRDefault="00552126" w:rsidP="007B293B">
      <w:pPr>
        <w:spacing w:after="220"/>
        <w:jc w:val="center"/>
        <w:rPr>
          <w:rFonts w:ascii="Arial Narrow" w:hAnsi="Arial Narrow" w:cs="Arial"/>
          <w:b/>
          <w:sz w:val="30"/>
          <w:szCs w:val="30"/>
        </w:rPr>
      </w:pPr>
      <w:r>
        <w:rPr>
          <w:rFonts w:ascii="Arial Narrow" w:hAnsi="Arial Narrow" w:cs="Arial"/>
          <w:b/>
          <w:sz w:val="30"/>
          <w:szCs w:val="30"/>
        </w:rPr>
        <w:t>RE</w:t>
      </w:r>
      <w:r w:rsidR="00D4501E">
        <w:rPr>
          <w:rFonts w:ascii="Arial Narrow" w:hAnsi="Arial Narrow" w:cs="Arial"/>
          <w:b/>
          <w:sz w:val="30"/>
          <w:szCs w:val="30"/>
        </w:rPr>
        <w:t xml:space="preserve">STORATION </w:t>
      </w:r>
      <w:r w:rsidR="003B2476">
        <w:rPr>
          <w:rFonts w:ascii="Arial Narrow" w:hAnsi="Arial Narrow" w:cs="Arial"/>
          <w:b/>
          <w:sz w:val="30"/>
          <w:szCs w:val="30"/>
        </w:rPr>
        <w:t>SUPPORT SERVICE EXPRESSION OF INTEREST</w:t>
      </w:r>
    </w:p>
    <w:p w14:paraId="7F5495DF" w14:textId="0E7BEACC" w:rsidR="00EC06F8" w:rsidRPr="001D2A0D" w:rsidRDefault="7DF622D8" w:rsidP="00EC06F8">
      <w:pPr>
        <w:pStyle w:val="Heading1"/>
        <w:numPr>
          <w:ilvl w:val="0"/>
          <w:numId w:val="0"/>
        </w:numPr>
        <w:shd w:val="clear" w:color="auto" w:fill="auto"/>
        <w:tabs>
          <w:tab w:val="clear" w:pos="1361"/>
        </w:tabs>
        <w:spacing w:before="180" w:after="120" w:line="340" w:lineRule="exact"/>
        <w:rPr>
          <w:rFonts w:ascii="Arial Narrow" w:hAnsi="Arial Narrow"/>
        </w:rPr>
      </w:pPr>
      <w:r w:rsidRPr="25B99561">
        <w:rPr>
          <w:rFonts w:ascii="Arial Narrow" w:hAnsi="Arial Narrow"/>
        </w:rPr>
        <w:t>System Restart Ancillary Service</w:t>
      </w:r>
      <w:r w:rsidR="001E5935">
        <w:rPr>
          <w:rFonts w:ascii="Arial Narrow" w:hAnsi="Arial Narrow"/>
        </w:rPr>
        <w:t xml:space="preserve"> </w:t>
      </w:r>
    </w:p>
    <w:p w14:paraId="7260ECA1" w14:textId="38328567" w:rsidR="00EC06F8" w:rsidRPr="001D2A0D" w:rsidRDefault="00EC06F8" w:rsidP="00EC06F8">
      <w:pPr>
        <w:pStyle w:val="BodyText"/>
        <w:ind w:left="0"/>
      </w:pPr>
      <w:r w:rsidRPr="00BD7077">
        <w:t xml:space="preserve">The </w:t>
      </w:r>
      <w:r>
        <w:rPr>
          <w:i/>
        </w:rPr>
        <w:t>s</w:t>
      </w:r>
      <w:r w:rsidRPr="008025E2">
        <w:rPr>
          <w:i/>
        </w:rPr>
        <w:t xml:space="preserve">ystem </w:t>
      </w:r>
      <w:r w:rsidRPr="001D2A0D">
        <w:rPr>
          <w:i/>
        </w:rPr>
        <w:t>restart</w:t>
      </w:r>
      <w:r>
        <w:rPr>
          <w:i/>
        </w:rPr>
        <w:t xml:space="preserve"> ancillary</w:t>
      </w:r>
      <w:r w:rsidRPr="001D2A0D">
        <w:rPr>
          <w:i/>
        </w:rPr>
        <w:t xml:space="preserve"> service</w:t>
      </w:r>
      <w:r>
        <w:t xml:space="preserve"> could</w:t>
      </w:r>
      <w:r w:rsidRPr="001D2A0D">
        <w:t xml:space="preserve"> be provided</w:t>
      </w:r>
      <w:r w:rsidR="00D4501E">
        <w:t xml:space="preserve"> as a restoration support service</w:t>
      </w:r>
      <w:r w:rsidRPr="001D2A0D">
        <w:t xml:space="preserve"> using the following </w:t>
      </w:r>
      <w:r w:rsidRPr="00351F0D">
        <w:rPr>
          <w:i/>
        </w:rPr>
        <w:t>facilities</w:t>
      </w:r>
      <w:r w:rsidR="001E5935">
        <w:rPr>
          <w:i/>
        </w:rPr>
        <w:t>, this is a non-binding EOI</w:t>
      </w:r>
      <w:r w:rsidRPr="001D2A0D">
        <w:t>:</w:t>
      </w:r>
    </w:p>
    <w:tbl>
      <w:tblPr>
        <w:tblStyle w:val="TableGrid"/>
        <w:tblW w:w="9185" w:type="dxa"/>
        <w:tblInd w:w="-5" w:type="dxa"/>
        <w:tblLayout w:type="fixed"/>
        <w:tblLook w:val="01A0" w:firstRow="1" w:lastRow="0" w:firstColumn="1" w:lastColumn="1" w:noHBand="0" w:noVBand="0"/>
      </w:tblPr>
      <w:tblGrid>
        <w:gridCol w:w="2835"/>
        <w:gridCol w:w="6350"/>
      </w:tblGrid>
      <w:tr w:rsidR="00AD1709" w:rsidRPr="00315BED" w14:paraId="1300674F" w14:textId="77777777">
        <w:tc>
          <w:tcPr>
            <w:tcW w:w="2835" w:type="dxa"/>
            <w:shd w:val="clear" w:color="auto" w:fill="auto"/>
            <w:vAlign w:val="center"/>
          </w:tcPr>
          <w:p w14:paraId="45911CE3" w14:textId="477D7506" w:rsidR="00AD1709" w:rsidRPr="00AD4C2B" w:rsidRDefault="001E5935" w:rsidP="00F4058F">
            <w:pPr>
              <w:pStyle w:val="TableText"/>
              <w:rPr>
                <w:b/>
              </w:rPr>
            </w:pPr>
            <w:r>
              <w:rPr>
                <w:b/>
              </w:rPr>
              <w:t>Summary</w:t>
            </w:r>
          </w:p>
        </w:tc>
        <w:tc>
          <w:tcPr>
            <w:tcW w:w="6350" w:type="dxa"/>
            <w:shd w:val="clear" w:color="auto" w:fill="auto"/>
          </w:tcPr>
          <w:p w14:paraId="6B0DFF1A" w14:textId="1C0486D0" w:rsidR="00AD1709" w:rsidRPr="00315BED" w:rsidRDefault="00AD1709" w:rsidP="00F4058F">
            <w:pPr>
              <w:pStyle w:val="TableText"/>
            </w:pPr>
          </w:p>
        </w:tc>
      </w:tr>
      <w:tr w:rsidR="00EC06F8" w:rsidRPr="00315BED" w14:paraId="4189AB45" w14:textId="77777777">
        <w:tc>
          <w:tcPr>
            <w:tcW w:w="2835" w:type="dxa"/>
            <w:shd w:val="clear" w:color="auto" w:fill="auto"/>
            <w:vAlign w:val="center"/>
          </w:tcPr>
          <w:p w14:paraId="0B62C504" w14:textId="77777777" w:rsidR="00EC06F8" w:rsidRPr="00AD4C2B" w:rsidRDefault="00EC06F8" w:rsidP="00F4058F">
            <w:pPr>
              <w:pStyle w:val="TableText"/>
              <w:rPr>
                <w:b/>
              </w:rPr>
            </w:pPr>
            <w:r w:rsidRPr="00AD4C2B">
              <w:rPr>
                <w:b/>
              </w:rPr>
              <w:t>Delivery Point</w:t>
            </w:r>
          </w:p>
        </w:tc>
        <w:tc>
          <w:tcPr>
            <w:tcW w:w="6350" w:type="dxa"/>
            <w:shd w:val="clear" w:color="auto" w:fill="auto"/>
          </w:tcPr>
          <w:p w14:paraId="672CECEA" w14:textId="77777777" w:rsidR="00EC06F8" w:rsidRPr="00315BED" w:rsidRDefault="00EC06F8" w:rsidP="00F4058F">
            <w:pPr>
              <w:pStyle w:val="TableText"/>
            </w:pPr>
          </w:p>
        </w:tc>
      </w:tr>
      <w:tr w:rsidR="00EC06F8" w:rsidRPr="00315BED" w14:paraId="1BA881CE" w14:textId="77777777">
        <w:tc>
          <w:tcPr>
            <w:tcW w:w="2835" w:type="dxa"/>
            <w:shd w:val="clear" w:color="auto" w:fill="auto"/>
            <w:vAlign w:val="center"/>
          </w:tcPr>
          <w:p w14:paraId="597C3CDF" w14:textId="77777777" w:rsidR="00EC06F8" w:rsidRPr="00AD4C2B" w:rsidRDefault="00EC06F8" w:rsidP="00F4058F">
            <w:pPr>
              <w:pStyle w:val="TableText"/>
              <w:rPr>
                <w:b/>
              </w:rPr>
            </w:pPr>
            <w:r w:rsidRPr="00AD4C2B">
              <w:rPr>
                <w:b/>
              </w:rPr>
              <w:t>Connection Point</w:t>
            </w:r>
          </w:p>
        </w:tc>
        <w:tc>
          <w:tcPr>
            <w:tcW w:w="6350" w:type="dxa"/>
            <w:shd w:val="clear" w:color="auto" w:fill="auto"/>
          </w:tcPr>
          <w:p w14:paraId="0E3829CE" w14:textId="77777777" w:rsidR="00EC06F8" w:rsidRPr="00315BED" w:rsidRDefault="00EC06F8" w:rsidP="00F4058F">
            <w:pPr>
              <w:pStyle w:val="TableText"/>
            </w:pPr>
          </w:p>
        </w:tc>
      </w:tr>
      <w:tr w:rsidR="00EC06F8" w:rsidRPr="00296BFF" w14:paraId="2ED4AEAC" w14:textId="77777777">
        <w:tblPrEx>
          <w:tblLook w:val="04A0" w:firstRow="1" w:lastRow="0" w:firstColumn="1" w:lastColumn="0" w:noHBand="0" w:noVBand="1"/>
        </w:tblPrEx>
        <w:trPr>
          <w:trHeight w:val="159"/>
        </w:trPr>
        <w:tc>
          <w:tcPr>
            <w:tcW w:w="2835" w:type="dxa"/>
            <w:vMerge w:val="restart"/>
          </w:tcPr>
          <w:p w14:paraId="2A8877A1" w14:textId="77777777" w:rsidR="00EC06F8" w:rsidRPr="004308EB" w:rsidRDefault="00EC06F8" w:rsidP="00F4058F">
            <w:pPr>
              <w:spacing w:line="360" w:lineRule="auto"/>
              <w:rPr>
                <w:rFonts w:ascii="Arial Narrow" w:hAnsi="Arial Narrow" w:cs="Arial"/>
                <w:b/>
                <w:sz w:val="20"/>
              </w:rPr>
            </w:pPr>
            <w:r w:rsidRPr="00BA4229">
              <w:rPr>
                <w:rFonts w:ascii="Arial Narrow" w:hAnsi="Arial Narrow" w:cs="Arial"/>
                <w:b/>
                <w:sz w:val="20"/>
              </w:rPr>
              <w:t>SRAS Equipment</w:t>
            </w:r>
            <w:r>
              <w:rPr>
                <w:rFonts w:ascii="Arial Narrow" w:hAnsi="Arial Narrow" w:cs="Arial"/>
                <w:b/>
                <w:sz w:val="20"/>
              </w:rPr>
              <w:t xml:space="preserve"> </w:t>
            </w:r>
          </w:p>
        </w:tc>
        <w:tc>
          <w:tcPr>
            <w:tcW w:w="6350" w:type="dxa"/>
          </w:tcPr>
          <w:p w14:paraId="50623361" w14:textId="77777777" w:rsidR="00EC06F8" w:rsidRDefault="00EC06F8" w:rsidP="00F4058F">
            <w:pPr>
              <w:rPr>
                <w:rFonts w:ascii="Arial Narrow" w:hAnsi="Arial Narrow"/>
                <w:sz w:val="20"/>
              </w:rPr>
            </w:pPr>
            <w:r w:rsidRPr="000C1594">
              <w:rPr>
                <w:rFonts w:ascii="Arial Narrow" w:hAnsi="Arial Narrow"/>
                <w:sz w:val="20"/>
              </w:rPr>
              <w:t xml:space="preserve">Major components: </w:t>
            </w:r>
          </w:p>
          <w:p w14:paraId="6259EC8C" w14:textId="77777777" w:rsidR="00EC06F8" w:rsidRPr="000C1594" w:rsidRDefault="00EC06F8" w:rsidP="00F4058F">
            <w:pPr>
              <w:rPr>
                <w:rFonts w:ascii="Arial Narrow" w:hAnsi="Arial Narrow"/>
                <w:sz w:val="20"/>
              </w:rPr>
            </w:pPr>
          </w:p>
        </w:tc>
      </w:tr>
      <w:tr w:rsidR="00EC06F8" w:rsidRPr="00296BFF" w14:paraId="7546F96E" w14:textId="77777777">
        <w:tblPrEx>
          <w:tblLook w:val="04A0" w:firstRow="1" w:lastRow="0" w:firstColumn="1" w:lastColumn="0" w:noHBand="0" w:noVBand="1"/>
        </w:tblPrEx>
        <w:trPr>
          <w:trHeight w:val="158"/>
        </w:trPr>
        <w:tc>
          <w:tcPr>
            <w:tcW w:w="2835" w:type="dxa"/>
            <w:vMerge/>
          </w:tcPr>
          <w:p w14:paraId="303DC0F8" w14:textId="77777777" w:rsidR="00EC06F8" w:rsidRPr="00BA4229" w:rsidRDefault="00EC06F8" w:rsidP="00F4058F">
            <w:pPr>
              <w:spacing w:line="360" w:lineRule="auto"/>
              <w:rPr>
                <w:rFonts w:ascii="Arial Narrow" w:hAnsi="Arial Narrow" w:cs="Arial"/>
                <w:b/>
                <w:sz w:val="20"/>
              </w:rPr>
            </w:pPr>
          </w:p>
        </w:tc>
        <w:tc>
          <w:tcPr>
            <w:tcW w:w="6350" w:type="dxa"/>
          </w:tcPr>
          <w:p w14:paraId="4C20C4AE" w14:textId="77777777" w:rsidR="00EC06F8" w:rsidRDefault="00EC06F8" w:rsidP="00F4058F">
            <w:pPr>
              <w:rPr>
                <w:rFonts w:ascii="Arial Narrow" w:hAnsi="Arial Narrow"/>
                <w:sz w:val="20"/>
              </w:rPr>
            </w:pPr>
            <w:r w:rsidRPr="000C1594">
              <w:rPr>
                <w:rFonts w:ascii="Arial Narrow" w:hAnsi="Arial Narrow"/>
                <w:sz w:val="20"/>
              </w:rPr>
              <w:t>Other components:</w:t>
            </w:r>
          </w:p>
          <w:p w14:paraId="20263834" w14:textId="77777777" w:rsidR="00EC06F8" w:rsidRPr="000C1594" w:rsidRDefault="00EC06F8" w:rsidP="00F4058F">
            <w:pPr>
              <w:rPr>
                <w:rFonts w:ascii="Arial Narrow" w:hAnsi="Arial Narrow"/>
                <w:sz w:val="20"/>
              </w:rPr>
            </w:pPr>
          </w:p>
        </w:tc>
      </w:tr>
      <w:tr w:rsidR="00EC06F8" w:rsidRPr="00296BFF" w14:paraId="24BFAFEA" w14:textId="77777777">
        <w:tblPrEx>
          <w:tblLook w:val="04A0" w:firstRow="1" w:lastRow="0" w:firstColumn="1" w:lastColumn="0" w:noHBand="0" w:noVBand="1"/>
        </w:tblPrEx>
        <w:trPr>
          <w:trHeight w:val="158"/>
        </w:trPr>
        <w:tc>
          <w:tcPr>
            <w:tcW w:w="2835" w:type="dxa"/>
            <w:vMerge/>
          </w:tcPr>
          <w:p w14:paraId="3EDBE94C" w14:textId="77777777" w:rsidR="00EC06F8" w:rsidRPr="00BA4229" w:rsidRDefault="00EC06F8" w:rsidP="00F4058F">
            <w:pPr>
              <w:spacing w:line="360" w:lineRule="auto"/>
              <w:rPr>
                <w:rFonts w:ascii="Arial Narrow" w:hAnsi="Arial Narrow" w:cs="Arial"/>
                <w:b/>
                <w:sz w:val="20"/>
              </w:rPr>
            </w:pPr>
          </w:p>
        </w:tc>
        <w:tc>
          <w:tcPr>
            <w:tcW w:w="6350" w:type="dxa"/>
          </w:tcPr>
          <w:p w14:paraId="1591D7A9" w14:textId="77777777" w:rsidR="00EC06F8" w:rsidRDefault="00EC06F8" w:rsidP="00F4058F">
            <w:pPr>
              <w:rPr>
                <w:rFonts w:ascii="Arial Narrow" w:hAnsi="Arial Narrow"/>
                <w:sz w:val="20"/>
              </w:rPr>
            </w:pPr>
            <w:r w:rsidRPr="000C1594">
              <w:rPr>
                <w:rFonts w:ascii="Arial Narrow" w:hAnsi="Arial Narrow"/>
                <w:sz w:val="20"/>
              </w:rPr>
              <w:t>SRAS Third Party Assets:</w:t>
            </w:r>
          </w:p>
          <w:p w14:paraId="170B3A13" w14:textId="77777777" w:rsidR="00EC06F8" w:rsidRPr="000C1594" w:rsidRDefault="00EC06F8" w:rsidP="00F4058F">
            <w:pPr>
              <w:rPr>
                <w:rFonts w:ascii="Arial Narrow" w:hAnsi="Arial Narrow"/>
                <w:sz w:val="20"/>
              </w:rPr>
            </w:pPr>
          </w:p>
        </w:tc>
      </w:tr>
      <w:tr w:rsidR="00EC06F8" w:rsidRPr="00F943E1" w14:paraId="5B5B6AF1" w14:textId="77777777">
        <w:tblPrEx>
          <w:tblLook w:val="04A0" w:firstRow="1" w:lastRow="0" w:firstColumn="1" w:lastColumn="0" w:noHBand="0" w:noVBand="1"/>
        </w:tblPrEx>
        <w:tc>
          <w:tcPr>
            <w:tcW w:w="2835" w:type="dxa"/>
          </w:tcPr>
          <w:p w14:paraId="68CC62A5" w14:textId="77777777" w:rsidR="00EC06F8" w:rsidRPr="00BA4229" w:rsidRDefault="00EC06F8" w:rsidP="00F4058F">
            <w:pPr>
              <w:spacing w:after="0" w:line="360" w:lineRule="auto"/>
              <w:rPr>
                <w:rFonts w:ascii="Arial Narrow" w:hAnsi="Arial Narrow" w:cs="Arial"/>
                <w:sz w:val="20"/>
              </w:rPr>
            </w:pPr>
            <w:r>
              <w:rPr>
                <w:rFonts w:ascii="Arial Narrow" w:hAnsi="Arial Narrow" w:cs="Arial"/>
                <w:b/>
                <w:sz w:val="20"/>
              </w:rPr>
              <w:t>Network Delivery Components</w:t>
            </w:r>
          </w:p>
        </w:tc>
        <w:tc>
          <w:tcPr>
            <w:tcW w:w="6350" w:type="dxa"/>
          </w:tcPr>
          <w:p w14:paraId="03F14E74" w14:textId="77777777" w:rsidR="00EC06F8" w:rsidRPr="00F943E1" w:rsidRDefault="00EC06F8" w:rsidP="00F4058F">
            <w:pPr>
              <w:spacing w:after="0" w:line="360" w:lineRule="auto"/>
              <w:rPr>
                <w:rFonts w:cs="Arial"/>
                <w:sz w:val="20"/>
              </w:rPr>
            </w:pPr>
          </w:p>
        </w:tc>
      </w:tr>
    </w:tbl>
    <w:p w14:paraId="4B63BA47" w14:textId="77777777" w:rsidR="00195ED3" w:rsidRDefault="00195ED3" w:rsidP="000722E2">
      <w:pPr>
        <w:pStyle w:val="TxtNum1"/>
        <w:numPr>
          <w:ilvl w:val="0"/>
          <w:numId w:val="0"/>
        </w:numPr>
        <w:ind w:left="709"/>
        <w:rPr>
          <w:rFonts w:ascii="Arial Narrow" w:hAnsi="Arial Narrow"/>
        </w:rPr>
      </w:pPr>
    </w:p>
    <w:p w14:paraId="67D4E1AD" w14:textId="77E2B9E5" w:rsidR="00880878" w:rsidRPr="001D2A0D" w:rsidRDefault="00880878" w:rsidP="00880878">
      <w:pPr>
        <w:pStyle w:val="BodyText"/>
        <w:ind w:left="0"/>
      </w:pPr>
      <w:r w:rsidRPr="00BD7077">
        <w:t xml:space="preserve">The </w:t>
      </w:r>
      <w:r>
        <w:rPr>
          <w:i/>
        </w:rPr>
        <w:t>s</w:t>
      </w:r>
      <w:r w:rsidRPr="008025E2">
        <w:rPr>
          <w:i/>
        </w:rPr>
        <w:t xml:space="preserve">ystem </w:t>
      </w:r>
      <w:r w:rsidRPr="001D2A0D">
        <w:rPr>
          <w:i/>
        </w:rPr>
        <w:t>restart</w:t>
      </w:r>
      <w:r>
        <w:rPr>
          <w:i/>
        </w:rPr>
        <w:t xml:space="preserve"> ancillary</w:t>
      </w:r>
      <w:r w:rsidRPr="001D2A0D">
        <w:rPr>
          <w:i/>
        </w:rPr>
        <w:t xml:space="preserve"> service</w:t>
      </w:r>
      <w:r>
        <w:t xml:space="preserve"> could</w:t>
      </w:r>
      <w:r w:rsidRPr="001D2A0D">
        <w:t xml:space="preserve"> be provided</w:t>
      </w:r>
      <w:r>
        <w:t xml:space="preserve"> as a restoration support service</w:t>
      </w:r>
      <w:r w:rsidRPr="001D2A0D">
        <w:t xml:space="preserve"> in the following manner</w:t>
      </w:r>
      <w:r w:rsidR="003C2A98">
        <w:t>:</w:t>
      </w:r>
    </w:p>
    <w:tbl>
      <w:tblPr>
        <w:tblStyle w:val="TableGrid"/>
        <w:tblW w:w="9185" w:type="dxa"/>
        <w:tblInd w:w="-5" w:type="dxa"/>
        <w:tblLayout w:type="fixed"/>
        <w:tblLook w:val="04A0" w:firstRow="1" w:lastRow="0" w:firstColumn="1" w:lastColumn="0" w:noHBand="0" w:noVBand="1"/>
      </w:tblPr>
      <w:tblGrid>
        <w:gridCol w:w="2835"/>
        <w:gridCol w:w="6350"/>
      </w:tblGrid>
      <w:tr w:rsidR="00A45DC4" w:rsidRPr="00F943E1" w14:paraId="3207E2FC" w14:textId="77777777" w:rsidTr="00172AFA">
        <w:tc>
          <w:tcPr>
            <w:tcW w:w="2835" w:type="dxa"/>
            <w:shd w:val="clear" w:color="auto" w:fill="F2F2F2" w:themeFill="background1" w:themeFillShade="F2"/>
          </w:tcPr>
          <w:p w14:paraId="28E087D5" w14:textId="5899046E" w:rsidR="00A45DC4" w:rsidRPr="000614C7" w:rsidRDefault="00546225" w:rsidP="00613382">
            <w:pPr>
              <w:spacing w:after="0" w:line="360" w:lineRule="auto"/>
              <w:jc w:val="center"/>
              <w:rPr>
                <w:rFonts w:ascii="Arial Narrow" w:hAnsi="Arial Narrow" w:cs="Arial"/>
                <w:b/>
                <w:sz w:val="20"/>
              </w:rPr>
            </w:pPr>
            <w:r w:rsidRPr="000614C7">
              <w:rPr>
                <w:rFonts w:ascii="Arial Narrow" w:hAnsi="Arial Narrow" w:cs="Arial"/>
                <w:b/>
                <w:sz w:val="20"/>
              </w:rPr>
              <w:t>Potential</w:t>
            </w:r>
            <w:r w:rsidR="000614C7" w:rsidRPr="000614C7">
              <w:rPr>
                <w:rFonts w:ascii="Arial Narrow" w:hAnsi="Arial Narrow" w:cs="Arial"/>
                <w:b/>
                <w:sz w:val="20"/>
              </w:rPr>
              <w:t xml:space="preserve"> support service</w:t>
            </w:r>
          </w:p>
        </w:tc>
        <w:tc>
          <w:tcPr>
            <w:tcW w:w="6350" w:type="dxa"/>
            <w:shd w:val="clear" w:color="auto" w:fill="F2F2F2" w:themeFill="background1" w:themeFillShade="F2"/>
          </w:tcPr>
          <w:p w14:paraId="48C7BF6F" w14:textId="7D190E7F" w:rsidR="00A45DC4" w:rsidRPr="00613382" w:rsidRDefault="000614C7" w:rsidP="00613382">
            <w:pPr>
              <w:spacing w:after="0" w:line="360" w:lineRule="auto"/>
              <w:jc w:val="center"/>
              <w:rPr>
                <w:rFonts w:cs="Arial"/>
                <w:b/>
                <w:sz w:val="20"/>
              </w:rPr>
            </w:pPr>
            <w:r w:rsidRPr="00613382">
              <w:rPr>
                <w:rFonts w:ascii="Arial Narrow" w:hAnsi="Arial Narrow" w:cs="Arial"/>
                <w:b/>
                <w:sz w:val="20"/>
              </w:rPr>
              <w:t>Explanation of the capability</w:t>
            </w:r>
            <w:r w:rsidR="00870890">
              <w:rPr>
                <w:rFonts w:ascii="Arial Narrow" w:hAnsi="Arial Narrow" w:cs="Arial"/>
                <w:b/>
                <w:sz w:val="20"/>
              </w:rPr>
              <w:t xml:space="preserve"> as required, not all fields need to be completed. </w:t>
            </w:r>
          </w:p>
        </w:tc>
      </w:tr>
      <w:tr w:rsidR="00E30367" w:rsidRPr="00F943E1" w14:paraId="009E2304" w14:textId="77777777" w:rsidTr="00F4058F">
        <w:tc>
          <w:tcPr>
            <w:tcW w:w="2835" w:type="dxa"/>
          </w:tcPr>
          <w:p w14:paraId="1E766DB2" w14:textId="77777777" w:rsidR="00E30367" w:rsidRDefault="00E30367" w:rsidP="00F4058F">
            <w:pPr>
              <w:spacing w:after="0" w:line="360" w:lineRule="auto"/>
              <w:rPr>
                <w:rFonts w:ascii="Arial Narrow" w:hAnsi="Arial Narrow" w:cs="Arial"/>
                <w:b/>
                <w:sz w:val="20"/>
              </w:rPr>
            </w:pPr>
            <w:r>
              <w:rPr>
                <w:rFonts w:ascii="Arial Narrow" w:hAnsi="Arial Narrow" w:cs="Arial"/>
                <w:b/>
                <w:sz w:val="20"/>
              </w:rPr>
              <w:t xml:space="preserve">Self start capability </w:t>
            </w:r>
          </w:p>
        </w:tc>
        <w:tc>
          <w:tcPr>
            <w:tcW w:w="6350" w:type="dxa"/>
          </w:tcPr>
          <w:p w14:paraId="405B10BE" w14:textId="77777777" w:rsidR="00E30367" w:rsidRPr="00F943E1" w:rsidRDefault="00E30367" w:rsidP="00F4058F">
            <w:pPr>
              <w:spacing w:after="0" w:line="360" w:lineRule="auto"/>
              <w:rPr>
                <w:rFonts w:cs="Arial"/>
                <w:sz w:val="20"/>
              </w:rPr>
            </w:pPr>
          </w:p>
        </w:tc>
      </w:tr>
      <w:tr w:rsidR="00E30367" w:rsidRPr="00F943E1" w14:paraId="03403DCA" w14:textId="77777777" w:rsidTr="00F4058F">
        <w:tc>
          <w:tcPr>
            <w:tcW w:w="2835" w:type="dxa"/>
          </w:tcPr>
          <w:p w14:paraId="4DB209B3" w14:textId="77777777" w:rsidR="00E30367" w:rsidRDefault="00E30367" w:rsidP="00F4058F">
            <w:pPr>
              <w:spacing w:after="0" w:line="360" w:lineRule="auto"/>
              <w:rPr>
                <w:rFonts w:ascii="Arial Narrow" w:hAnsi="Arial Narrow" w:cs="Arial"/>
                <w:b/>
                <w:sz w:val="20"/>
              </w:rPr>
            </w:pPr>
            <w:r w:rsidRPr="00B726B4">
              <w:rPr>
                <w:rFonts w:ascii="Arial Narrow" w:hAnsi="Arial Narrow" w:cs="Arial"/>
                <w:b/>
                <w:sz w:val="20"/>
              </w:rPr>
              <w:t>Voltage/Reactive power control capability</w:t>
            </w:r>
          </w:p>
        </w:tc>
        <w:tc>
          <w:tcPr>
            <w:tcW w:w="6350" w:type="dxa"/>
          </w:tcPr>
          <w:p w14:paraId="422AE92D" w14:textId="77777777" w:rsidR="00E30367" w:rsidRPr="00F943E1" w:rsidRDefault="00E30367" w:rsidP="00F4058F">
            <w:pPr>
              <w:spacing w:after="0" w:line="360" w:lineRule="auto"/>
              <w:rPr>
                <w:rFonts w:cs="Arial"/>
                <w:sz w:val="20"/>
              </w:rPr>
            </w:pPr>
          </w:p>
        </w:tc>
      </w:tr>
      <w:tr w:rsidR="00E30367" w:rsidRPr="00F943E1" w14:paraId="5F2E8629" w14:textId="77777777" w:rsidTr="00F4058F">
        <w:tc>
          <w:tcPr>
            <w:tcW w:w="2835" w:type="dxa"/>
          </w:tcPr>
          <w:p w14:paraId="528F2B13" w14:textId="77777777" w:rsidR="00E30367" w:rsidRDefault="00E30367" w:rsidP="00F4058F">
            <w:pPr>
              <w:spacing w:after="0" w:line="360" w:lineRule="auto"/>
              <w:rPr>
                <w:rFonts w:ascii="Arial Narrow" w:hAnsi="Arial Narrow" w:cs="Arial"/>
                <w:b/>
                <w:sz w:val="20"/>
              </w:rPr>
            </w:pPr>
            <w:r w:rsidRPr="00B02135">
              <w:rPr>
                <w:rFonts w:ascii="Arial Narrow" w:hAnsi="Arial Narrow" w:cs="Arial"/>
                <w:b/>
                <w:sz w:val="20"/>
              </w:rPr>
              <w:t>Frequency control capability</w:t>
            </w:r>
          </w:p>
        </w:tc>
        <w:tc>
          <w:tcPr>
            <w:tcW w:w="6350" w:type="dxa"/>
          </w:tcPr>
          <w:p w14:paraId="597456B0" w14:textId="77777777" w:rsidR="00E30367" w:rsidRPr="00F943E1" w:rsidRDefault="00E30367" w:rsidP="00F4058F">
            <w:pPr>
              <w:spacing w:after="0" w:line="360" w:lineRule="auto"/>
              <w:rPr>
                <w:rFonts w:cs="Arial"/>
                <w:sz w:val="20"/>
              </w:rPr>
            </w:pPr>
          </w:p>
        </w:tc>
      </w:tr>
      <w:tr w:rsidR="00E30367" w:rsidRPr="00F943E1" w14:paraId="05EA316C" w14:textId="77777777" w:rsidTr="00F4058F">
        <w:tc>
          <w:tcPr>
            <w:tcW w:w="2835" w:type="dxa"/>
          </w:tcPr>
          <w:p w14:paraId="16DDC623" w14:textId="77777777" w:rsidR="00E30367" w:rsidRDefault="00E30367" w:rsidP="00F4058F">
            <w:pPr>
              <w:spacing w:after="0" w:line="360" w:lineRule="auto"/>
              <w:rPr>
                <w:rFonts w:ascii="Arial Narrow" w:hAnsi="Arial Narrow" w:cs="Arial"/>
                <w:b/>
                <w:sz w:val="20"/>
              </w:rPr>
            </w:pPr>
            <w:r w:rsidRPr="00756251">
              <w:rPr>
                <w:rFonts w:ascii="Arial Narrow" w:hAnsi="Arial Narrow" w:cs="Arial"/>
                <w:b/>
                <w:sz w:val="20"/>
              </w:rPr>
              <w:t>Stabilising load</w:t>
            </w:r>
          </w:p>
        </w:tc>
        <w:tc>
          <w:tcPr>
            <w:tcW w:w="6350" w:type="dxa"/>
          </w:tcPr>
          <w:p w14:paraId="5506EE20" w14:textId="77777777" w:rsidR="00E30367" w:rsidRPr="00F943E1" w:rsidRDefault="00E30367" w:rsidP="00F4058F">
            <w:pPr>
              <w:spacing w:after="0" w:line="360" w:lineRule="auto"/>
              <w:rPr>
                <w:rFonts w:cs="Arial"/>
                <w:sz w:val="20"/>
              </w:rPr>
            </w:pPr>
          </w:p>
        </w:tc>
      </w:tr>
      <w:tr w:rsidR="00E30367" w14:paraId="56A18855" w14:textId="77777777" w:rsidTr="00F4058F">
        <w:tc>
          <w:tcPr>
            <w:tcW w:w="2835" w:type="dxa"/>
          </w:tcPr>
          <w:p w14:paraId="0476B004" w14:textId="4D0DB76D" w:rsidR="00E30367" w:rsidRDefault="00975ABC" w:rsidP="00F4058F">
            <w:pPr>
              <w:spacing w:after="0" w:line="360" w:lineRule="auto"/>
              <w:rPr>
                <w:rFonts w:ascii="Arial Narrow" w:hAnsi="Arial Narrow" w:cs="Arial"/>
                <w:b/>
                <w:sz w:val="20"/>
              </w:rPr>
            </w:pPr>
            <w:r>
              <w:rPr>
                <w:rFonts w:ascii="Arial Narrow" w:hAnsi="Arial Narrow" w:cs="Arial"/>
                <w:b/>
                <w:sz w:val="20"/>
              </w:rPr>
              <w:t>System strength</w:t>
            </w:r>
            <w:r w:rsidR="00E30367" w:rsidRPr="004B7B50">
              <w:rPr>
                <w:rFonts w:ascii="Arial Narrow" w:hAnsi="Arial Narrow" w:cs="Arial"/>
                <w:b/>
                <w:sz w:val="20"/>
              </w:rPr>
              <w:t xml:space="preserve"> capability</w:t>
            </w:r>
          </w:p>
        </w:tc>
        <w:tc>
          <w:tcPr>
            <w:tcW w:w="6350" w:type="dxa"/>
          </w:tcPr>
          <w:p w14:paraId="584B2A45" w14:textId="77777777" w:rsidR="00E30367" w:rsidRDefault="00E30367" w:rsidP="00F4058F">
            <w:pPr>
              <w:spacing w:after="0" w:line="360" w:lineRule="auto"/>
              <w:rPr>
                <w:rFonts w:cs="Arial"/>
                <w:sz w:val="20"/>
              </w:rPr>
            </w:pPr>
          </w:p>
        </w:tc>
      </w:tr>
      <w:tr w:rsidR="00A152E7" w14:paraId="6A01E569" w14:textId="77777777" w:rsidTr="00F4058F">
        <w:tc>
          <w:tcPr>
            <w:tcW w:w="2835" w:type="dxa"/>
          </w:tcPr>
          <w:p w14:paraId="06E81AC5" w14:textId="2C58AA73" w:rsidR="00A152E7" w:rsidRPr="004B7B50" w:rsidDel="00975ABC" w:rsidRDefault="0003201E" w:rsidP="00F4058F">
            <w:pPr>
              <w:spacing w:after="0" w:line="360" w:lineRule="auto"/>
              <w:rPr>
                <w:rFonts w:ascii="Arial Narrow" w:hAnsi="Arial Narrow" w:cs="Arial"/>
                <w:b/>
                <w:sz w:val="20"/>
              </w:rPr>
            </w:pPr>
            <w:r>
              <w:rPr>
                <w:rFonts w:ascii="Arial Narrow" w:hAnsi="Arial Narrow" w:cs="Arial"/>
                <w:b/>
                <w:sz w:val="20"/>
              </w:rPr>
              <w:t xml:space="preserve">Required </w:t>
            </w:r>
            <w:r w:rsidR="00EC1EAB">
              <w:rPr>
                <w:rFonts w:ascii="Arial Narrow" w:hAnsi="Arial Narrow" w:cs="Arial"/>
                <w:b/>
                <w:sz w:val="20"/>
              </w:rPr>
              <w:t xml:space="preserve">fault level </w:t>
            </w:r>
            <w:r w:rsidR="00392CD1">
              <w:rPr>
                <w:rFonts w:ascii="Arial Narrow" w:hAnsi="Arial Narrow" w:cs="Arial"/>
                <w:b/>
                <w:sz w:val="20"/>
              </w:rPr>
              <w:t>for stable operation</w:t>
            </w:r>
          </w:p>
        </w:tc>
        <w:tc>
          <w:tcPr>
            <w:tcW w:w="6350" w:type="dxa"/>
          </w:tcPr>
          <w:p w14:paraId="1157A281" w14:textId="77777777" w:rsidR="00A152E7" w:rsidRDefault="00A152E7" w:rsidP="00F4058F">
            <w:pPr>
              <w:spacing w:after="0" w:line="360" w:lineRule="auto"/>
              <w:rPr>
                <w:rFonts w:cs="Arial"/>
                <w:sz w:val="20"/>
              </w:rPr>
            </w:pPr>
          </w:p>
        </w:tc>
      </w:tr>
      <w:tr w:rsidR="009835C1" w14:paraId="5C5FA121" w14:textId="77777777" w:rsidTr="00F4058F">
        <w:tc>
          <w:tcPr>
            <w:tcW w:w="2835" w:type="dxa"/>
          </w:tcPr>
          <w:p w14:paraId="2EAC9767" w14:textId="0F128F3B" w:rsidR="009835C1" w:rsidRDefault="009835C1" w:rsidP="00F4058F">
            <w:pPr>
              <w:spacing w:after="0" w:line="360" w:lineRule="auto"/>
              <w:rPr>
                <w:rFonts w:ascii="Arial Narrow" w:hAnsi="Arial Narrow" w:cs="Arial"/>
                <w:b/>
                <w:sz w:val="20"/>
              </w:rPr>
            </w:pPr>
            <w:r>
              <w:rPr>
                <w:rFonts w:ascii="Arial Narrow" w:hAnsi="Arial Narrow" w:cs="Arial"/>
                <w:b/>
                <w:sz w:val="20"/>
              </w:rPr>
              <w:t xml:space="preserve">The time required </w:t>
            </w:r>
            <w:r w:rsidR="00184B78">
              <w:rPr>
                <w:rFonts w:ascii="Arial Narrow" w:hAnsi="Arial Narrow" w:cs="Arial"/>
                <w:b/>
                <w:sz w:val="20"/>
              </w:rPr>
              <w:t xml:space="preserve">to provide the services </w:t>
            </w:r>
            <w:r w:rsidR="00604B61">
              <w:rPr>
                <w:rFonts w:ascii="Arial Narrow" w:hAnsi="Arial Narrow" w:cs="Arial"/>
                <w:b/>
                <w:sz w:val="20"/>
              </w:rPr>
              <w:t xml:space="preserve">as soon as </w:t>
            </w:r>
            <w:r w:rsidR="009C177C">
              <w:rPr>
                <w:rFonts w:ascii="Arial Narrow" w:hAnsi="Arial Narrow" w:cs="Arial"/>
                <w:b/>
                <w:sz w:val="20"/>
              </w:rPr>
              <w:t xml:space="preserve">it is energized </w:t>
            </w:r>
            <w:r w:rsidR="007754B1">
              <w:rPr>
                <w:rFonts w:ascii="Arial Narrow" w:hAnsi="Arial Narrow" w:cs="Arial"/>
                <w:b/>
                <w:sz w:val="20"/>
              </w:rPr>
              <w:t>from grid</w:t>
            </w:r>
          </w:p>
        </w:tc>
        <w:tc>
          <w:tcPr>
            <w:tcW w:w="6350" w:type="dxa"/>
          </w:tcPr>
          <w:p w14:paraId="2E39041D" w14:textId="77777777" w:rsidR="009835C1" w:rsidRDefault="009835C1" w:rsidP="00F4058F">
            <w:pPr>
              <w:spacing w:after="0" w:line="360" w:lineRule="auto"/>
              <w:rPr>
                <w:rFonts w:cs="Arial"/>
                <w:sz w:val="20"/>
              </w:rPr>
            </w:pPr>
          </w:p>
        </w:tc>
      </w:tr>
    </w:tbl>
    <w:p w14:paraId="2AED1997" w14:textId="61026F2B" w:rsidR="003C2A98" w:rsidRPr="001D2A0D" w:rsidRDefault="003C2A98" w:rsidP="003C2A98">
      <w:pPr>
        <w:pStyle w:val="BodyText"/>
        <w:ind w:left="0"/>
      </w:pPr>
      <w:r w:rsidRPr="00BD7077">
        <w:t xml:space="preserve">The </w:t>
      </w:r>
      <w:r>
        <w:rPr>
          <w:i/>
        </w:rPr>
        <w:t>s</w:t>
      </w:r>
      <w:r w:rsidRPr="008025E2">
        <w:rPr>
          <w:i/>
        </w:rPr>
        <w:t xml:space="preserve">ystem </w:t>
      </w:r>
      <w:r w:rsidRPr="001D2A0D">
        <w:rPr>
          <w:i/>
        </w:rPr>
        <w:t>restart</w:t>
      </w:r>
      <w:r>
        <w:rPr>
          <w:i/>
        </w:rPr>
        <w:t xml:space="preserve"> ancillary</w:t>
      </w:r>
      <w:r w:rsidRPr="001D2A0D">
        <w:rPr>
          <w:i/>
        </w:rPr>
        <w:t xml:space="preserve"> service</w:t>
      </w:r>
      <w:r>
        <w:t xml:space="preserve"> could</w:t>
      </w:r>
      <w:r w:rsidRPr="001D2A0D">
        <w:t xml:space="preserve"> be provided</w:t>
      </w:r>
      <w:r>
        <w:t xml:space="preserve"> as a restoration support service</w:t>
      </w:r>
      <w:r w:rsidRPr="001D2A0D">
        <w:t xml:space="preserve"> </w:t>
      </w:r>
      <w:r w:rsidR="00C554D2">
        <w:t>given the following</w:t>
      </w:r>
      <w:r>
        <w:t>:</w:t>
      </w:r>
    </w:p>
    <w:tbl>
      <w:tblPr>
        <w:tblStyle w:val="TableGrid"/>
        <w:tblW w:w="9185" w:type="dxa"/>
        <w:tblInd w:w="-5" w:type="dxa"/>
        <w:tblLayout w:type="fixed"/>
        <w:tblLook w:val="04A0" w:firstRow="1" w:lastRow="0" w:firstColumn="1" w:lastColumn="0" w:noHBand="0" w:noVBand="1"/>
      </w:tblPr>
      <w:tblGrid>
        <w:gridCol w:w="2835"/>
        <w:gridCol w:w="6350"/>
      </w:tblGrid>
      <w:tr w:rsidR="00E30367" w:rsidRPr="00F943E1" w14:paraId="74E080D4" w14:textId="77777777" w:rsidTr="00F4058F">
        <w:tc>
          <w:tcPr>
            <w:tcW w:w="2835" w:type="dxa"/>
          </w:tcPr>
          <w:p w14:paraId="2E0AC666" w14:textId="77777777" w:rsidR="00E30367" w:rsidRDefault="00E30367" w:rsidP="00F4058F">
            <w:pPr>
              <w:spacing w:after="0" w:line="360" w:lineRule="auto"/>
              <w:rPr>
                <w:rFonts w:ascii="Arial Narrow" w:hAnsi="Arial Narrow" w:cs="Arial"/>
                <w:b/>
                <w:sz w:val="20"/>
              </w:rPr>
            </w:pPr>
            <w:r>
              <w:rPr>
                <w:rFonts w:ascii="Arial Narrow" w:hAnsi="Arial Narrow" w:cs="Arial"/>
                <w:b/>
                <w:sz w:val="20"/>
              </w:rPr>
              <w:t>Desired contract length</w:t>
            </w:r>
          </w:p>
        </w:tc>
        <w:tc>
          <w:tcPr>
            <w:tcW w:w="6350" w:type="dxa"/>
          </w:tcPr>
          <w:p w14:paraId="6E6A08CD" w14:textId="12A80386" w:rsidR="00E30367" w:rsidRPr="00F943E1" w:rsidRDefault="00E30367" w:rsidP="00F4058F">
            <w:pPr>
              <w:spacing w:after="0" w:line="360" w:lineRule="auto"/>
              <w:rPr>
                <w:rFonts w:cs="Arial"/>
                <w:sz w:val="20"/>
              </w:rPr>
            </w:pPr>
            <w:r>
              <w:rPr>
                <w:rFonts w:cs="Arial"/>
                <w:sz w:val="20"/>
              </w:rPr>
              <w:t xml:space="preserve">xx </w:t>
            </w:r>
            <w:r w:rsidR="000614C7">
              <w:rPr>
                <w:rFonts w:cs="Arial"/>
                <w:sz w:val="20"/>
              </w:rPr>
              <w:t>y</w:t>
            </w:r>
            <w:r>
              <w:rPr>
                <w:rFonts w:cs="Arial"/>
                <w:sz w:val="20"/>
              </w:rPr>
              <w:t>ears</w:t>
            </w:r>
          </w:p>
        </w:tc>
      </w:tr>
      <w:tr w:rsidR="00E30367" w:rsidRPr="00F943E1" w14:paraId="347ACC7C" w14:textId="77777777" w:rsidTr="00F4058F">
        <w:tc>
          <w:tcPr>
            <w:tcW w:w="2835" w:type="dxa"/>
          </w:tcPr>
          <w:p w14:paraId="37E5A5D7" w14:textId="0CBF44EA" w:rsidR="00E30367" w:rsidRDefault="009E47DE" w:rsidP="00F4058F">
            <w:pPr>
              <w:spacing w:after="0" w:line="360" w:lineRule="auto"/>
              <w:rPr>
                <w:rFonts w:ascii="Arial Narrow" w:hAnsi="Arial Narrow" w:cs="Arial"/>
                <w:b/>
                <w:sz w:val="20"/>
              </w:rPr>
            </w:pPr>
            <w:r>
              <w:rPr>
                <w:rFonts w:ascii="Arial Narrow" w:hAnsi="Arial Narrow" w:cs="Arial"/>
                <w:b/>
                <w:sz w:val="20"/>
              </w:rPr>
              <w:t xml:space="preserve">Expected availability </w:t>
            </w:r>
          </w:p>
        </w:tc>
        <w:tc>
          <w:tcPr>
            <w:tcW w:w="6350" w:type="dxa"/>
          </w:tcPr>
          <w:p w14:paraId="001804BF" w14:textId="3B70FDFF" w:rsidR="00E30367" w:rsidRPr="00F943E1" w:rsidRDefault="00352889" w:rsidP="00F4058F">
            <w:pPr>
              <w:spacing w:after="0" w:line="360" w:lineRule="auto"/>
              <w:rPr>
                <w:rFonts w:cs="Arial"/>
                <w:sz w:val="20"/>
              </w:rPr>
            </w:pPr>
            <w:r>
              <w:rPr>
                <w:rFonts w:cs="Arial"/>
                <w:sz w:val="20"/>
              </w:rPr>
              <w:t>%</w:t>
            </w:r>
          </w:p>
        </w:tc>
      </w:tr>
      <w:tr w:rsidR="00E30367" w:rsidRPr="00F943E1" w14:paraId="098D1475" w14:textId="77777777" w:rsidTr="00F4058F">
        <w:tc>
          <w:tcPr>
            <w:tcW w:w="2835" w:type="dxa"/>
          </w:tcPr>
          <w:p w14:paraId="63BB35A2" w14:textId="014BD126" w:rsidR="00E30367" w:rsidRDefault="00546225" w:rsidP="00F4058F">
            <w:pPr>
              <w:spacing w:after="0" w:line="360" w:lineRule="auto"/>
              <w:rPr>
                <w:rFonts w:ascii="Arial Narrow" w:hAnsi="Arial Narrow" w:cs="Arial"/>
                <w:b/>
                <w:sz w:val="20"/>
              </w:rPr>
            </w:pPr>
            <w:r>
              <w:rPr>
                <w:rFonts w:ascii="Arial Narrow" w:hAnsi="Arial Narrow" w:cs="Arial"/>
                <w:b/>
                <w:sz w:val="20"/>
              </w:rPr>
              <w:lastRenderedPageBreak/>
              <w:t>Services</w:t>
            </w:r>
            <w:r w:rsidR="00E30367">
              <w:rPr>
                <w:rFonts w:ascii="Arial Narrow" w:hAnsi="Arial Narrow" w:cs="Arial"/>
                <w:b/>
                <w:sz w:val="20"/>
              </w:rPr>
              <w:t xml:space="preserve"> can be supplied from the following date </w:t>
            </w:r>
          </w:p>
        </w:tc>
        <w:tc>
          <w:tcPr>
            <w:tcW w:w="6350" w:type="dxa"/>
          </w:tcPr>
          <w:p w14:paraId="200561FE" w14:textId="77777777" w:rsidR="00E30367" w:rsidRPr="00F943E1" w:rsidRDefault="00E30367" w:rsidP="00F4058F">
            <w:pPr>
              <w:spacing w:after="0" w:line="360" w:lineRule="auto"/>
              <w:rPr>
                <w:rFonts w:cs="Arial"/>
                <w:sz w:val="20"/>
              </w:rPr>
            </w:pPr>
          </w:p>
        </w:tc>
      </w:tr>
    </w:tbl>
    <w:p w14:paraId="31621272" w14:textId="77777777" w:rsidR="00E30367" w:rsidRPr="00613382" w:rsidRDefault="00E30367" w:rsidP="000722E2">
      <w:pPr>
        <w:pStyle w:val="TxtNum1"/>
        <w:numPr>
          <w:ilvl w:val="0"/>
          <w:numId w:val="0"/>
        </w:numPr>
        <w:ind w:left="709"/>
        <w:rPr>
          <w:rFonts w:ascii="Arial Narrow" w:hAnsi="Arial Narrow"/>
          <w:b/>
          <w:bCs/>
          <w:u w:val="single"/>
        </w:rPr>
      </w:pPr>
    </w:p>
    <w:p w14:paraId="6303759A" w14:textId="5D7D8E3B" w:rsidR="007C24C4" w:rsidRDefault="007C24C4" w:rsidP="000722E2">
      <w:pPr>
        <w:pStyle w:val="TxtNum1"/>
        <w:numPr>
          <w:ilvl w:val="0"/>
          <w:numId w:val="0"/>
        </w:numPr>
        <w:ind w:left="709"/>
        <w:rPr>
          <w:rFonts w:ascii="Arial Narrow" w:hAnsi="Arial Narrow"/>
        </w:rPr>
      </w:pPr>
    </w:p>
    <w:sectPr w:rsidR="007C24C4" w:rsidSect="00D91AD5">
      <w:pgSz w:w="11907" w:h="16840" w:code="9"/>
      <w:pgMar w:top="1440" w:right="1418" w:bottom="1440" w:left="1418" w:header="72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F8CA3" w14:textId="77777777" w:rsidR="008172FA" w:rsidRDefault="008172FA">
      <w:r>
        <w:separator/>
      </w:r>
    </w:p>
    <w:p w14:paraId="0B13290D" w14:textId="77777777" w:rsidR="008172FA" w:rsidRDefault="008172FA"/>
  </w:endnote>
  <w:endnote w:type="continuationSeparator" w:id="0">
    <w:p w14:paraId="0C2F801F" w14:textId="77777777" w:rsidR="008172FA" w:rsidRDefault="008172FA">
      <w:r>
        <w:continuationSeparator/>
      </w:r>
    </w:p>
    <w:p w14:paraId="1552EB2C" w14:textId="77777777" w:rsidR="008172FA" w:rsidRDefault="008172FA"/>
  </w:endnote>
  <w:endnote w:type="continuationNotice" w:id="1">
    <w:p w14:paraId="1B910360" w14:textId="77777777" w:rsidR="008172FA" w:rsidRDefault="008172F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Avenir-Book">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A4430" w14:textId="77777777" w:rsidR="00BE7A15" w:rsidRDefault="00BE7A15">
    <w:pPr>
      <w:pStyle w:val="Footer"/>
      <w:pBdr>
        <w:top w:val="none" w:sz="0"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EB6A9" w14:textId="2B423ADE" w:rsidR="00BE7A15" w:rsidRPr="00BB48B1" w:rsidRDefault="00BE7A15" w:rsidP="0011322D">
    <w:pPr>
      <w:pStyle w:val="Footer"/>
      <w:tabs>
        <w:tab w:val="clear" w:pos="8100"/>
        <w:tab w:val="right" w:pos="9072"/>
      </w:tabs>
      <w:ind w:right="0"/>
      <w:jc w:val="left"/>
      <w:rPr>
        <w:sz w:val="16"/>
        <w:szCs w:val="16"/>
      </w:rPr>
    </w:pPr>
    <w:r w:rsidRPr="00BB48B1">
      <w:rPr>
        <w:b/>
        <w:sz w:val="16"/>
        <w:szCs w:val="16"/>
      </w:rPr>
      <w:tab/>
    </w:r>
    <w:r w:rsidRPr="00BB48B1">
      <w:rPr>
        <w:sz w:val="16"/>
        <w:szCs w:val="16"/>
      </w:rPr>
      <w:tab/>
    </w:r>
    <w:r w:rsidR="00B3552B">
      <w:rPr>
        <w:sz w:val="16"/>
        <w:szCs w:val="16"/>
      </w:rPr>
      <w:tab/>
    </w:r>
    <w:r w:rsidRPr="0064064B">
      <w:rPr>
        <w:sz w:val="16"/>
        <w:szCs w:val="16"/>
      </w:rPr>
      <w:t xml:space="preserve">Page </w:t>
    </w:r>
    <w:r w:rsidRPr="0064064B">
      <w:rPr>
        <w:sz w:val="16"/>
        <w:szCs w:val="16"/>
      </w:rPr>
      <w:fldChar w:fldCharType="begin"/>
    </w:r>
    <w:r w:rsidRPr="00CC35A2">
      <w:rPr>
        <w:sz w:val="16"/>
        <w:szCs w:val="16"/>
      </w:rPr>
      <w:instrText xml:space="preserve"> PAGE </w:instrText>
    </w:r>
    <w:r w:rsidRPr="0064064B">
      <w:rPr>
        <w:sz w:val="16"/>
        <w:szCs w:val="16"/>
      </w:rPr>
      <w:fldChar w:fldCharType="separate"/>
    </w:r>
    <w:r w:rsidR="0043415D">
      <w:rPr>
        <w:noProof/>
        <w:sz w:val="16"/>
        <w:szCs w:val="16"/>
      </w:rPr>
      <w:t>24</w:t>
    </w:r>
    <w:r w:rsidRPr="0064064B">
      <w:rPr>
        <w:sz w:val="16"/>
        <w:szCs w:val="16"/>
      </w:rPr>
      <w:fldChar w:fldCharType="end"/>
    </w:r>
    <w:r w:rsidRPr="0064064B">
      <w:rPr>
        <w:sz w:val="16"/>
        <w:szCs w:val="16"/>
      </w:rPr>
      <w:t xml:space="preserve"> of </w:t>
    </w:r>
    <w:r w:rsidRPr="0064064B">
      <w:rPr>
        <w:sz w:val="16"/>
        <w:szCs w:val="16"/>
      </w:rPr>
      <w:fldChar w:fldCharType="begin"/>
    </w:r>
    <w:r w:rsidRPr="00CC35A2">
      <w:rPr>
        <w:sz w:val="16"/>
        <w:szCs w:val="16"/>
      </w:rPr>
      <w:instrText xml:space="preserve"> NUMPAGES  </w:instrText>
    </w:r>
    <w:r w:rsidRPr="0064064B">
      <w:rPr>
        <w:sz w:val="16"/>
        <w:szCs w:val="16"/>
      </w:rPr>
      <w:fldChar w:fldCharType="separate"/>
    </w:r>
    <w:r w:rsidR="0043415D">
      <w:rPr>
        <w:noProof/>
        <w:sz w:val="16"/>
        <w:szCs w:val="16"/>
      </w:rPr>
      <w:t>24</w:t>
    </w:r>
    <w:r w:rsidRPr="0064064B">
      <w:rPr>
        <w:sz w:val="16"/>
        <w:szCs w:val="16"/>
      </w:rPr>
      <w:fldChar w:fldCharType="end"/>
    </w:r>
    <w:r w:rsidRPr="00BB48B1" w:rsidDel="00BB48B1">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58420" w14:textId="77777777" w:rsidR="008172FA" w:rsidRDefault="008172FA">
      <w:r>
        <w:separator/>
      </w:r>
    </w:p>
  </w:footnote>
  <w:footnote w:type="continuationSeparator" w:id="0">
    <w:p w14:paraId="6A4DFBE2" w14:textId="77777777" w:rsidR="008172FA" w:rsidRDefault="008172FA">
      <w:r>
        <w:continuationSeparator/>
      </w:r>
    </w:p>
    <w:p w14:paraId="4CC4FF24" w14:textId="77777777" w:rsidR="008172FA" w:rsidRDefault="008172FA"/>
  </w:footnote>
  <w:footnote w:type="continuationNotice" w:id="1">
    <w:p w14:paraId="209467C8" w14:textId="77777777" w:rsidR="008172FA" w:rsidRDefault="008172FA">
      <w:pPr>
        <w:spacing w:before="0" w:after="0"/>
      </w:pPr>
    </w:p>
  </w:footnote>
  <w:footnote w:id="2">
    <w:p w14:paraId="5550DE44" w14:textId="77777777" w:rsidR="00E500DE" w:rsidRPr="00C471CC" w:rsidRDefault="00E500DE" w:rsidP="00E500DE">
      <w:pPr>
        <w:pStyle w:val="FootnoteText"/>
        <w:rPr>
          <w:sz w:val="18"/>
        </w:rPr>
      </w:pPr>
      <w:r w:rsidRPr="00C471CC">
        <w:rPr>
          <w:rStyle w:val="FootnoteReference"/>
          <w:sz w:val="18"/>
        </w:rPr>
        <w:footnoteRef/>
      </w:r>
      <w:r w:rsidRPr="00C471CC">
        <w:rPr>
          <w:sz w:val="18"/>
        </w:rPr>
        <w:t xml:space="preserve"> AEMO’s incoming email size limit is 20MB. Tenderers will need to check their own limits on outgoing email.</w:t>
      </w:r>
    </w:p>
  </w:footnote>
  <w:footnote w:id="3">
    <w:p w14:paraId="01199057" w14:textId="77777777" w:rsidR="003C508F" w:rsidRDefault="003C508F" w:rsidP="003C508F">
      <w:pPr>
        <w:pStyle w:val="FootnoteText"/>
      </w:pPr>
      <w:r>
        <w:rPr>
          <w:rStyle w:val="FootnoteReference"/>
        </w:rPr>
        <w:footnoteRef/>
      </w:r>
      <w:r>
        <w:t xml:space="preserve"> </w:t>
      </w:r>
      <w:r w:rsidRPr="00653848">
        <w:rPr>
          <w:rFonts w:ascii="Arial Narrow" w:hAnsi="Arial Narrow"/>
          <w:sz w:val="18"/>
          <w:szCs w:val="18"/>
        </w:rPr>
        <w:t>Delete as appropriate.</w:t>
      </w:r>
    </w:p>
  </w:footnote>
  <w:footnote w:id="4">
    <w:p w14:paraId="7C74A4E4" w14:textId="2579C0AD" w:rsidR="00BE7A15" w:rsidRPr="003A1331" w:rsidRDefault="00BE7A15">
      <w:pPr>
        <w:pStyle w:val="FootnoteText"/>
        <w:rPr>
          <w:rFonts w:ascii="Arial Narrow" w:hAnsi="Arial Narrow"/>
          <w:sz w:val="16"/>
        </w:rPr>
      </w:pPr>
      <w:r w:rsidRPr="003A1331">
        <w:rPr>
          <w:rStyle w:val="FootnoteReference"/>
          <w:rFonts w:ascii="Arial Narrow" w:hAnsi="Arial Narrow"/>
          <w:sz w:val="18"/>
        </w:rPr>
        <w:footnoteRef/>
      </w:r>
      <w:r w:rsidRPr="003A1331">
        <w:rPr>
          <w:rFonts w:ascii="Arial Narrow" w:hAnsi="Arial Narrow"/>
          <w:sz w:val="18"/>
        </w:rPr>
        <w:t xml:space="preserve"> Only the PDF version must be signed</w:t>
      </w:r>
    </w:p>
  </w:footnote>
  <w:footnote w:id="5">
    <w:p w14:paraId="6C001BE1" w14:textId="77777777" w:rsidR="00BE7A15" w:rsidRDefault="00BE7A15">
      <w:pPr>
        <w:pStyle w:val="FootnoteText"/>
      </w:pPr>
      <w:r>
        <w:rPr>
          <w:rStyle w:val="FootnoteReference"/>
        </w:rPr>
        <w:footnoteRef/>
      </w:r>
      <w:r>
        <w:t xml:space="preserve"> </w:t>
      </w:r>
      <w:r w:rsidRPr="00653848">
        <w:rPr>
          <w:rFonts w:ascii="Arial Narrow" w:hAnsi="Arial Narrow"/>
          <w:sz w:val="18"/>
          <w:szCs w:val="18"/>
        </w:rPr>
        <w:t>Delete as appropriate.</w:t>
      </w:r>
    </w:p>
  </w:footnote>
  <w:footnote w:id="6">
    <w:p w14:paraId="5B3A8571" w14:textId="77777777" w:rsidR="00BE7A15" w:rsidRPr="00FE557F" w:rsidRDefault="00BE7A15" w:rsidP="00FE557F">
      <w:pPr>
        <w:pStyle w:val="FootnoteText"/>
        <w:rPr>
          <w:rFonts w:ascii="Arial Narrow" w:hAnsi="Arial Narrow"/>
        </w:rPr>
      </w:pPr>
      <w:r w:rsidRPr="00FE557F">
        <w:rPr>
          <w:rStyle w:val="FootnoteReference"/>
          <w:rFonts w:ascii="Arial Narrow" w:hAnsi="Arial Narrow"/>
        </w:rPr>
        <w:footnoteRef/>
      </w:r>
      <w:r w:rsidRPr="00FE557F">
        <w:rPr>
          <w:rFonts w:ascii="Arial Narrow" w:hAnsi="Arial Narrow"/>
        </w:rPr>
        <w:t xml:space="preserve"> Delete as appropriate.</w:t>
      </w:r>
    </w:p>
  </w:footnote>
  <w:footnote w:id="7">
    <w:p w14:paraId="6F1E1FE2" w14:textId="6F5EFCF0" w:rsidR="00BE7A15" w:rsidRPr="002D453D" w:rsidRDefault="00BE7A15" w:rsidP="00BF205E">
      <w:pPr>
        <w:pStyle w:val="FootnoteText"/>
        <w:rPr>
          <w:sz w:val="18"/>
          <w:szCs w:val="18"/>
        </w:rPr>
      </w:pPr>
      <w:r w:rsidRPr="002D453D">
        <w:rPr>
          <w:rStyle w:val="FootnoteReference"/>
          <w:sz w:val="18"/>
          <w:szCs w:val="18"/>
        </w:rPr>
        <w:footnoteRef/>
      </w:r>
      <w:r w:rsidRPr="002D453D">
        <w:rPr>
          <w:sz w:val="18"/>
          <w:szCs w:val="18"/>
        </w:rPr>
        <w:t xml:space="preserve"> Available at </w:t>
      </w:r>
      <w:r w:rsidRPr="00D108DB">
        <w:rPr>
          <w:sz w:val="18"/>
          <w:szCs w:val="18"/>
        </w:rPr>
        <w:t>https://aemo.com.au/-/media/files/stakeholder_consultation/consultations/nem-consultations/2019/lbsp-amendments/final-stage/generator_lbsp_template.docx?la=en&amp;hash=9D0769FBC25C73A714F4414C8ACC0C59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FC2F3" w14:textId="10ABEFB1" w:rsidR="00B66DFD" w:rsidRDefault="00B66DFD" w:rsidP="00613382">
    <w:pPr>
      <w:pStyle w:val="Header"/>
      <w:jc w:val="right"/>
    </w:pPr>
    <w:r>
      <w:rPr>
        <w:noProof/>
      </w:rPr>
      <w:drawing>
        <wp:anchor distT="0" distB="0" distL="114300" distR="114300" simplePos="0" relativeHeight="251658240" behindDoc="1" locked="0" layoutInCell="1" allowOverlap="1" wp14:anchorId="2F171A57" wp14:editId="2615E7A5">
          <wp:simplePos x="0" y="0"/>
          <wp:positionH relativeFrom="column">
            <wp:posOffset>4043045</wp:posOffset>
          </wp:positionH>
          <wp:positionV relativeFrom="paragraph">
            <wp:posOffset>76835</wp:posOffset>
          </wp:positionV>
          <wp:extent cx="1710000" cy="558000"/>
          <wp:effectExtent l="0" t="0" r="508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710000" cy="55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B50A7" w14:textId="3FC8A630" w:rsidR="00BE7A15" w:rsidRPr="00BC3FD9" w:rsidRDefault="00C33E47" w:rsidP="00036570">
    <w:pPr>
      <w:pBdr>
        <w:bottom w:val="single" w:sz="6" w:space="1" w:color="auto"/>
      </w:pBdr>
      <w:tabs>
        <w:tab w:val="left" w:pos="1418"/>
        <w:tab w:val="right" w:pos="9072"/>
      </w:tabs>
      <w:jc w:val="both"/>
      <w:rPr>
        <w:rFonts w:ascii="Arial Narrow" w:hAnsi="Arial Narrow"/>
      </w:rPr>
    </w:pPr>
    <w:r>
      <w:rPr>
        <w:rFonts w:ascii="Arial Narrow" w:hAnsi="Arial Narrow"/>
        <w:noProof/>
      </w:rPr>
      <w:drawing>
        <wp:anchor distT="0" distB="0" distL="114300" distR="114300" simplePos="0" relativeHeight="251658241" behindDoc="1" locked="0" layoutInCell="1" allowOverlap="1" wp14:anchorId="42469AA8" wp14:editId="1EE87CC7">
          <wp:simplePos x="0" y="0"/>
          <wp:positionH relativeFrom="margin">
            <wp:align>right</wp:align>
          </wp:positionH>
          <wp:positionV relativeFrom="paragraph">
            <wp:posOffset>-104775</wp:posOffset>
          </wp:positionV>
          <wp:extent cx="1008000" cy="327600"/>
          <wp:effectExtent l="0" t="0" r="190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008000" cy="327600"/>
                  </a:xfrm>
                  <a:prstGeom prst="rect">
                    <a:avLst/>
                  </a:prstGeom>
                </pic:spPr>
              </pic:pic>
            </a:graphicData>
          </a:graphic>
          <wp14:sizeRelH relativeFrom="margin">
            <wp14:pctWidth>0</wp14:pctWidth>
          </wp14:sizeRelH>
          <wp14:sizeRelV relativeFrom="margin">
            <wp14:pctHeight>0</wp14:pctHeight>
          </wp14:sizeRelV>
        </wp:anchor>
      </w:drawing>
    </w:r>
    <w:r w:rsidR="00BE7A15">
      <w:tab/>
    </w:r>
    <w:r w:rsidR="00BE7A15">
      <w:tab/>
    </w:r>
    <w:r w:rsidR="00BE7A15">
      <w:rPr>
        <w:rFonts w:ascii="Arial Narrow" w:hAnsi="Arial Narrow"/>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2CE257A0"/>
    <w:lvl w:ilvl="0">
      <w:start w:val="1"/>
      <w:numFmt w:val="decimal"/>
      <w:pStyle w:val="Heading1"/>
      <w:lvlText w:val="%1."/>
      <w:lvlJc w:val="left"/>
      <w:pPr>
        <w:tabs>
          <w:tab w:val="num" w:pos="1437"/>
        </w:tabs>
        <w:ind w:left="1361" w:hanging="284"/>
      </w:pPr>
    </w:lvl>
    <w:lvl w:ilvl="1">
      <w:start w:val="1"/>
      <w:numFmt w:val="decimal"/>
      <w:lvlText w:val="%1.%2"/>
      <w:lvlJc w:val="left"/>
      <w:pPr>
        <w:tabs>
          <w:tab w:val="num" w:pos="1814"/>
        </w:tabs>
        <w:ind w:left="1814" w:hanging="396"/>
      </w:pPr>
    </w:lvl>
    <w:lvl w:ilvl="2">
      <w:start w:val="1"/>
      <w:numFmt w:val="decimal"/>
      <w:lvlText w:val="%1.%2.%3"/>
      <w:lvlJc w:val="left"/>
      <w:pPr>
        <w:tabs>
          <w:tab w:val="num" w:pos="2438"/>
        </w:tabs>
        <w:ind w:left="2438" w:hanging="567"/>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0DB781A"/>
    <w:multiLevelType w:val="hybridMultilevel"/>
    <w:tmpl w:val="0594591C"/>
    <w:lvl w:ilvl="0" w:tplc="FFFFFFFF">
      <w:start w:val="1"/>
      <w:numFmt w:val="lowerLett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 w15:restartNumberingAfterBreak="0">
    <w:nsid w:val="019550F3"/>
    <w:multiLevelType w:val="multilevel"/>
    <w:tmpl w:val="03BC7CA8"/>
    <w:lvl w:ilvl="0">
      <w:start w:val="1"/>
      <w:numFmt w:val="decimal"/>
      <w:pStyle w:val="ScheduleSection"/>
      <w:lvlText w:val="Schedule %1 - "/>
      <w:lvlJc w:val="left"/>
      <w:pPr>
        <w:ind w:left="0" w:firstLine="0"/>
      </w:pPr>
      <w:rPr>
        <w:rFonts w:hint="default"/>
      </w:rPr>
    </w:lvl>
    <w:lvl w:ilvl="1">
      <w:start w:val="1"/>
      <w:numFmt w:val="none"/>
      <w:pStyle w:val="SchedHdg1"/>
      <w:lvlText w:val="S%1"/>
      <w:lvlJc w:val="left"/>
      <w:pPr>
        <w:tabs>
          <w:tab w:val="num" w:pos="709"/>
        </w:tabs>
        <w:ind w:left="709" w:hanging="709"/>
      </w:pPr>
      <w:rPr>
        <w:rFonts w:hint="default"/>
      </w:rPr>
    </w:lvl>
    <w:lvl w:ilvl="2">
      <w:start w:val="1"/>
      <w:numFmt w:val="decimal"/>
      <w:pStyle w:val="SchedHdg2"/>
      <w:lvlText w:val="S%1.%3"/>
      <w:lvlJc w:val="left"/>
      <w:pPr>
        <w:tabs>
          <w:tab w:val="num" w:pos="709"/>
        </w:tabs>
        <w:ind w:left="709" w:hanging="709"/>
      </w:pPr>
      <w:rPr>
        <w:rFonts w:hint="default"/>
      </w:rPr>
    </w:lvl>
    <w:lvl w:ilvl="3">
      <w:start w:val="1"/>
      <w:numFmt w:val="upperLetter"/>
      <w:lvlText w:val="(%4)"/>
      <w:lvlJc w:val="left"/>
      <w:pPr>
        <w:tabs>
          <w:tab w:val="num" w:pos="1843"/>
        </w:tabs>
        <w:ind w:left="2410"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64E0669"/>
    <w:multiLevelType w:val="hybridMultilevel"/>
    <w:tmpl w:val="0594591C"/>
    <w:lvl w:ilvl="0" w:tplc="FFFFFFFF">
      <w:start w:val="1"/>
      <w:numFmt w:val="lowerLett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 w15:restartNumberingAfterBreak="0">
    <w:nsid w:val="274B209B"/>
    <w:multiLevelType w:val="hybridMultilevel"/>
    <w:tmpl w:val="3C8A0BCE"/>
    <w:lvl w:ilvl="0" w:tplc="FFFFFFFF">
      <w:start w:val="1"/>
      <w:numFmt w:val="lowerLett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5" w15:restartNumberingAfterBreak="0">
    <w:nsid w:val="29C34A90"/>
    <w:multiLevelType w:val="hybridMultilevel"/>
    <w:tmpl w:val="C3EA61C0"/>
    <w:lvl w:ilvl="0" w:tplc="FFFFFFFF">
      <w:start w:val="1"/>
      <w:numFmt w:val="lowerLett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6" w15:restartNumberingAfterBreak="0">
    <w:nsid w:val="2BD842E8"/>
    <w:multiLevelType w:val="hybridMultilevel"/>
    <w:tmpl w:val="0594591C"/>
    <w:lvl w:ilvl="0" w:tplc="7944A2D0">
      <w:start w:val="1"/>
      <w:numFmt w:val="lowerLetter"/>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7" w15:restartNumberingAfterBreak="0">
    <w:nsid w:val="333F3ABE"/>
    <w:multiLevelType w:val="hybridMultilevel"/>
    <w:tmpl w:val="0594591C"/>
    <w:lvl w:ilvl="0" w:tplc="FFFFFFFF">
      <w:start w:val="1"/>
      <w:numFmt w:val="lowerLett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8" w15:restartNumberingAfterBreak="0">
    <w:nsid w:val="357875D9"/>
    <w:multiLevelType w:val="hybridMultilevel"/>
    <w:tmpl w:val="B9E04A5A"/>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9" w15:restartNumberingAfterBreak="0">
    <w:nsid w:val="37102F03"/>
    <w:multiLevelType w:val="hybridMultilevel"/>
    <w:tmpl w:val="5FCCA2C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4378164A"/>
    <w:multiLevelType w:val="hybridMultilevel"/>
    <w:tmpl w:val="6DACD192"/>
    <w:lvl w:ilvl="0" w:tplc="31A84E18">
      <w:start w:val="1"/>
      <w:numFmt w:val="decimal"/>
      <w:lvlText w:val="%1."/>
      <w:lvlJc w:val="left"/>
      <w:pPr>
        <w:ind w:left="406" w:hanging="360"/>
      </w:pPr>
      <w:rPr>
        <w:rFonts w:hint="default"/>
      </w:rPr>
    </w:lvl>
    <w:lvl w:ilvl="1" w:tplc="0C090019" w:tentative="1">
      <w:start w:val="1"/>
      <w:numFmt w:val="lowerLetter"/>
      <w:lvlText w:val="%2."/>
      <w:lvlJc w:val="left"/>
      <w:pPr>
        <w:ind w:left="1126" w:hanging="360"/>
      </w:pPr>
    </w:lvl>
    <w:lvl w:ilvl="2" w:tplc="0C09001B" w:tentative="1">
      <w:start w:val="1"/>
      <w:numFmt w:val="lowerRoman"/>
      <w:lvlText w:val="%3."/>
      <w:lvlJc w:val="right"/>
      <w:pPr>
        <w:ind w:left="1846" w:hanging="180"/>
      </w:pPr>
    </w:lvl>
    <w:lvl w:ilvl="3" w:tplc="0C09000F" w:tentative="1">
      <w:start w:val="1"/>
      <w:numFmt w:val="decimal"/>
      <w:lvlText w:val="%4."/>
      <w:lvlJc w:val="left"/>
      <w:pPr>
        <w:ind w:left="2566" w:hanging="360"/>
      </w:pPr>
    </w:lvl>
    <w:lvl w:ilvl="4" w:tplc="0C090019" w:tentative="1">
      <w:start w:val="1"/>
      <w:numFmt w:val="lowerLetter"/>
      <w:lvlText w:val="%5."/>
      <w:lvlJc w:val="left"/>
      <w:pPr>
        <w:ind w:left="3286" w:hanging="360"/>
      </w:pPr>
    </w:lvl>
    <w:lvl w:ilvl="5" w:tplc="0C09001B" w:tentative="1">
      <w:start w:val="1"/>
      <w:numFmt w:val="lowerRoman"/>
      <w:lvlText w:val="%6."/>
      <w:lvlJc w:val="right"/>
      <w:pPr>
        <w:ind w:left="4006" w:hanging="180"/>
      </w:pPr>
    </w:lvl>
    <w:lvl w:ilvl="6" w:tplc="0C09000F" w:tentative="1">
      <w:start w:val="1"/>
      <w:numFmt w:val="decimal"/>
      <w:lvlText w:val="%7."/>
      <w:lvlJc w:val="left"/>
      <w:pPr>
        <w:ind w:left="4726" w:hanging="360"/>
      </w:pPr>
    </w:lvl>
    <w:lvl w:ilvl="7" w:tplc="0C090019" w:tentative="1">
      <w:start w:val="1"/>
      <w:numFmt w:val="lowerLetter"/>
      <w:lvlText w:val="%8."/>
      <w:lvlJc w:val="left"/>
      <w:pPr>
        <w:ind w:left="5446" w:hanging="360"/>
      </w:pPr>
    </w:lvl>
    <w:lvl w:ilvl="8" w:tplc="0C09001B" w:tentative="1">
      <w:start w:val="1"/>
      <w:numFmt w:val="lowerRoman"/>
      <w:lvlText w:val="%9."/>
      <w:lvlJc w:val="right"/>
      <w:pPr>
        <w:ind w:left="6166" w:hanging="180"/>
      </w:pPr>
    </w:lvl>
  </w:abstractNum>
  <w:abstractNum w:abstractNumId="11" w15:restartNumberingAfterBreak="0">
    <w:nsid w:val="532F70FF"/>
    <w:multiLevelType w:val="hybridMultilevel"/>
    <w:tmpl w:val="8C08815E"/>
    <w:lvl w:ilvl="0" w:tplc="FFFFFFFF">
      <w:start w:val="1"/>
      <w:numFmt w:val="bullet"/>
      <w:lvlText w:val=""/>
      <w:lvlJc w:val="left"/>
      <w:pPr>
        <w:tabs>
          <w:tab w:val="num" w:pos="709"/>
        </w:tabs>
        <w:ind w:left="709" w:hanging="709"/>
      </w:pPr>
      <w:rPr>
        <w:rFonts w:ascii="Symbol" w:hAnsi="Symbol" w:hint="default"/>
        <w:sz w:val="20"/>
      </w:rPr>
    </w:lvl>
    <w:lvl w:ilvl="1" w:tplc="D3C8378C">
      <w:start w:val="1"/>
      <w:numFmt w:val="bullet"/>
      <w:lvlText w:val=""/>
      <w:lvlJc w:val="left"/>
      <w:pPr>
        <w:ind w:left="1871" w:hanging="567"/>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82D092E"/>
    <w:multiLevelType w:val="hybridMultilevel"/>
    <w:tmpl w:val="4A10C906"/>
    <w:lvl w:ilvl="0" w:tplc="FC921AD4">
      <w:start w:val="1"/>
      <w:numFmt w:val="decimal"/>
      <w:pStyle w:val="AEMONumberedlist"/>
      <w:lvlText w:val="%1."/>
      <w:lvlJc w:val="left"/>
      <w:pPr>
        <w:tabs>
          <w:tab w:val="num" w:pos="1117"/>
        </w:tabs>
        <w:ind w:left="1117" w:hanging="397"/>
      </w:pPr>
      <w:rPr>
        <w:rFonts w:hint="default"/>
        <w:b/>
        <w:i w:val="0"/>
      </w:rPr>
    </w:lvl>
    <w:lvl w:ilvl="1" w:tplc="93129398">
      <w:start w:val="1"/>
      <w:numFmt w:val="lowerLetter"/>
      <w:lvlText w:val="%2)"/>
      <w:lvlJc w:val="left"/>
      <w:pPr>
        <w:tabs>
          <w:tab w:val="num" w:pos="1514"/>
        </w:tabs>
        <w:ind w:left="1514" w:hanging="397"/>
      </w:pPr>
      <w:rPr>
        <w:rFonts w:hint="default"/>
      </w:rPr>
    </w:lvl>
    <w:lvl w:ilvl="2" w:tplc="99F00188">
      <w:start w:val="1"/>
      <w:numFmt w:val="lowerRoman"/>
      <w:lvlText w:val="%3)"/>
      <w:lvlJc w:val="left"/>
      <w:pPr>
        <w:tabs>
          <w:tab w:val="num" w:pos="1800"/>
        </w:tabs>
        <w:ind w:left="1800" w:hanging="360"/>
      </w:pPr>
      <w:rPr>
        <w:rFonts w:hint="default"/>
      </w:rPr>
    </w:lvl>
    <w:lvl w:ilvl="3" w:tplc="3C2E2F30">
      <w:start w:val="1"/>
      <w:numFmt w:val="decimal"/>
      <w:lvlText w:val="(%4)"/>
      <w:lvlJc w:val="left"/>
      <w:pPr>
        <w:tabs>
          <w:tab w:val="num" w:pos="2160"/>
        </w:tabs>
        <w:ind w:left="2160" w:hanging="360"/>
      </w:pPr>
      <w:rPr>
        <w:rFonts w:hint="default"/>
      </w:rPr>
    </w:lvl>
    <w:lvl w:ilvl="4" w:tplc="B0845D20">
      <w:start w:val="1"/>
      <w:numFmt w:val="lowerLetter"/>
      <w:lvlText w:val="(%5)"/>
      <w:lvlJc w:val="left"/>
      <w:pPr>
        <w:tabs>
          <w:tab w:val="num" w:pos="2520"/>
        </w:tabs>
        <w:ind w:left="2520" w:hanging="360"/>
      </w:pPr>
      <w:rPr>
        <w:rFonts w:hint="default"/>
      </w:rPr>
    </w:lvl>
    <w:lvl w:ilvl="5" w:tplc="2C8C49AC">
      <w:start w:val="1"/>
      <w:numFmt w:val="lowerRoman"/>
      <w:lvlText w:val="(%6)"/>
      <w:lvlJc w:val="left"/>
      <w:pPr>
        <w:tabs>
          <w:tab w:val="num" w:pos="2880"/>
        </w:tabs>
        <w:ind w:left="2880" w:hanging="360"/>
      </w:pPr>
      <w:rPr>
        <w:rFonts w:hint="default"/>
      </w:rPr>
    </w:lvl>
    <w:lvl w:ilvl="6" w:tplc="B3CC3E7C">
      <w:start w:val="1"/>
      <w:numFmt w:val="decimal"/>
      <w:lvlText w:val="%7."/>
      <w:lvlJc w:val="left"/>
      <w:pPr>
        <w:tabs>
          <w:tab w:val="num" w:pos="3240"/>
        </w:tabs>
        <w:ind w:left="3240" w:hanging="360"/>
      </w:pPr>
      <w:rPr>
        <w:rFonts w:hint="default"/>
      </w:rPr>
    </w:lvl>
    <w:lvl w:ilvl="7" w:tplc="8BAA6430">
      <w:start w:val="1"/>
      <w:numFmt w:val="lowerLetter"/>
      <w:lvlText w:val="%8."/>
      <w:lvlJc w:val="left"/>
      <w:pPr>
        <w:tabs>
          <w:tab w:val="num" w:pos="3600"/>
        </w:tabs>
        <w:ind w:left="3600" w:hanging="360"/>
      </w:pPr>
      <w:rPr>
        <w:rFonts w:hint="default"/>
      </w:rPr>
    </w:lvl>
    <w:lvl w:ilvl="8" w:tplc="0EA40DAA">
      <w:start w:val="1"/>
      <w:numFmt w:val="lowerRoman"/>
      <w:lvlText w:val="%9."/>
      <w:lvlJc w:val="left"/>
      <w:pPr>
        <w:tabs>
          <w:tab w:val="num" w:pos="3960"/>
        </w:tabs>
        <w:ind w:left="3960" w:hanging="360"/>
      </w:pPr>
      <w:rPr>
        <w:rFonts w:hint="default"/>
      </w:rPr>
    </w:lvl>
  </w:abstractNum>
  <w:abstractNum w:abstractNumId="13" w15:restartNumberingAfterBreak="0">
    <w:nsid w:val="5B035B7D"/>
    <w:multiLevelType w:val="hybridMultilevel"/>
    <w:tmpl w:val="B234F094"/>
    <w:lvl w:ilvl="0" w:tplc="FFFFFFFF">
      <w:start w:val="1"/>
      <w:numFmt w:val="lowerLett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4" w15:restartNumberingAfterBreak="0">
    <w:nsid w:val="692325FF"/>
    <w:multiLevelType w:val="hybridMultilevel"/>
    <w:tmpl w:val="3970E146"/>
    <w:lvl w:ilvl="0" w:tplc="FFFFFFFF">
      <w:start w:val="1"/>
      <w:numFmt w:val="lowerLetter"/>
      <w:lvlText w:val="(%1)"/>
      <w:lvlJc w:val="left"/>
      <w:pPr>
        <w:ind w:left="1429" w:hanging="360"/>
      </w:pPr>
      <w:rPr>
        <w:rFonts w:hint="default"/>
      </w:rPr>
    </w:lvl>
    <w:lvl w:ilvl="1" w:tplc="FFFFFFFF">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5" w15:restartNumberingAfterBreak="0">
    <w:nsid w:val="697C175E"/>
    <w:multiLevelType w:val="hybridMultilevel"/>
    <w:tmpl w:val="4B50BF36"/>
    <w:lvl w:ilvl="0" w:tplc="0C090001">
      <w:start w:val="1"/>
      <w:numFmt w:val="bullet"/>
      <w:lvlText w:val=""/>
      <w:lvlJc w:val="left"/>
      <w:pPr>
        <w:ind w:left="766" w:hanging="360"/>
      </w:pPr>
      <w:rPr>
        <w:rFonts w:ascii="Symbol" w:hAnsi="Symbol" w:hint="default"/>
      </w:rPr>
    </w:lvl>
    <w:lvl w:ilvl="1" w:tplc="0C090019" w:tentative="1">
      <w:start w:val="1"/>
      <w:numFmt w:val="lowerLetter"/>
      <w:lvlText w:val="%2."/>
      <w:lvlJc w:val="left"/>
      <w:pPr>
        <w:ind w:left="1486" w:hanging="360"/>
      </w:pPr>
    </w:lvl>
    <w:lvl w:ilvl="2" w:tplc="0C09001B" w:tentative="1">
      <w:start w:val="1"/>
      <w:numFmt w:val="lowerRoman"/>
      <w:lvlText w:val="%3."/>
      <w:lvlJc w:val="right"/>
      <w:pPr>
        <w:ind w:left="2206" w:hanging="180"/>
      </w:pPr>
    </w:lvl>
    <w:lvl w:ilvl="3" w:tplc="0C09000F" w:tentative="1">
      <w:start w:val="1"/>
      <w:numFmt w:val="decimal"/>
      <w:lvlText w:val="%4."/>
      <w:lvlJc w:val="left"/>
      <w:pPr>
        <w:ind w:left="2926" w:hanging="360"/>
      </w:pPr>
    </w:lvl>
    <w:lvl w:ilvl="4" w:tplc="0C090019" w:tentative="1">
      <w:start w:val="1"/>
      <w:numFmt w:val="lowerLetter"/>
      <w:lvlText w:val="%5."/>
      <w:lvlJc w:val="left"/>
      <w:pPr>
        <w:ind w:left="3646" w:hanging="360"/>
      </w:pPr>
    </w:lvl>
    <w:lvl w:ilvl="5" w:tplc="0C09001B" w:tentative="1">
      <w:start w:val="1"/>
      <w:numFmt w:val="lowerRoman"/>
      <w:lvlText w:val="%6."/>
      <w:lvlJc w:val="right"/>
      <w:pPr>
        <w:ind w:left="4366" w:hanging="180"/>
      </w:pPr>
    </w:lvl>
    <w:lvl w:ilvl="6" w:tplc="0C09000F" w:tentative="1">
      <w:start w:val="1"/>
      <w:numFmt w:val="decimal"/>
      <w:lvlText w:val="%7."/>
      <w:lvlJc w:val="left"/>
      <w:pPr>
        <w:ind w:left="5086" w:hanging="360"/>
      </w:pPr>
    </w:lvl>
    <w:lvl w:ilvl="7" w:tplc="0C090019" w:tentative="1">
      <w:start w:val="1"/>
      <w:numFmt w:val="lowerLetter"/>
      <w:lvlText w:val="%8."/>
      <w:lvlJc w:val="left"/>
      <w:pPr>
        <w:ind w:left="5806" w:hanging="360"/>
      </w:pPr>
    </w:lvl>
    <w:lvl w:ilvl="8" w:tplc="0C09001B" w:tentative="1">
      <w:start w:val="1"/>
      <w:numFmt w:val="lowerRoman"/>
      <w:lvlText w:val="%9."/>
      <w:lvlJc w:val="right"/>
      <w:pPr>
        <w:ind w:left="6526" w:hanging="180"/>
      </w:pPr>
    </w:lvl>
  </w:abstractNum>
  <w:abstractNum w:abstractNumId="16" w15:restartNumberingAfterBreak="0">
    <w:nsid w:val="6A300477"/>
    <w:multiLevelType w:val="multilevel"/>
    <w:tmpl w:val="799CD85A"/>
    <w:lvl w:ilvl="0">
      <w:start w:val="1"/>
      <w:numFmt w:val="upperLetter"/>
      <w:pStyle w:val="ITTHeading1"/>
      <w:lvlText w:val="SECTION %1:"/>
      <w:lvlJc w:val="left"/>
      <w:pPr>
        <w:tabs>
          <w:tab w:val="num" w:pos="-31680"/>
        </w:tabs>
        <w:ind w:left="2268" w:hanging="2268"/>
      </w:pPr>
      <w:rPr>
        <w:rFonts w:hint="default"/>
      </w:rPr>
    </w:lvl>
    <w:lvl w:ilvl="1">
      <w:start w:val="1"/>
      <w:numFmt w:val="decimal"/>
      <w:pStyle w:val="ITTHeading2"/>
      <w:lvlText w:val="%1.%2"/>
      <w:lvlJc w:val="left"/>
      <w:pPr>
        <w:tabs>
          <w:tab w:val="num" w:pos="720"/>
        </w:tabs>
        <w:ind w:left="720" w:hanging="720"/>
      </w:pPr>
      <w:rPr>
        <w:rFonts w:ascii="Arial Narrow" w:hAnsi="Arial Narrow" w:hint="default"/>
        <w:sz w:val="22"/>
        <w:szCs w:val="22"/>
      </w:rPr>
    </w:lvl>
    <w:lvl w:ilvl="2">
      <w:start w:val="1"/>
      <w:numFmt w:val="lowerLetter"/>
      <w:pStyle w:val="ITTHeading3"/>
      <w:lvlText w:val="(%3)"/>
      <w:lvlJc w:val="left"/>
      <w:pPr>
        <w:tabs>
          <w:tab w:val="num" w:pos="1440"/>
        </w:tabs>
        <w:ind w:left="1440" w:hanging="720"/>
      </w:pPr>
      <w:rPr>
        <w:rFonts w:hint="default"/>
      </w:rPr>
    </w:lvl>
    <w:lvl w:ilvl="3">
      <w:start w:val="1"/>
      <w:numFmt w:val="lowerRoman"/>
      <w:lvlText w:val="(%4)"/>
      <w:lvlJc w:val="left"/>
      <w:pPr>
        <w:tabs>
          <w:tab w:val="num" w:pos="2381"/>
        </w:tabs>
        <w:ind w:left="2381" w:hanging="680"/>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6BEF71F6"/>
    <w:multiLevelType w:val="multilevel"/>
    <w:tmpl w:val="E99A542A"/>
    <w:lvl w:ilvl="0">
      <w:start w:val="1"/>
      <w:numFmt w:val="decimal"/>
      <w:pStyle w:val="SchedH1"/>
      <w:lvlText w:val="%1"/>
      <w:lvlJc w:val="left"/>
      <w:pPr>
        <w:tabs>
          <w:tab w:val="num" w:pos="737"/>
        </w:tabs>
        <w:ind w:left="737" w:hanging="737"/>
      </w:pPr>
    </w:lvl>
    <w:lvl w:ilvl="1">
      <w:start w:val="1"/>
      <w:numFmt w:val="decimal"/>
      <w:pStyle w:val="SchedH2"/>
      <w:lvlText w:val="%1.%2"/>
      <w:lvlJc w:val="left"/>
      <w:pPr>
        <w:tabs>
          <w:tab w:val="num" w:pos="737"/>
        </w:tabs>
        <w:ind w:left="737" w:hanging="737"/>
      </w:pPr>
    </w:lvl>
    <w:lvl w:ilvl="2">
      <w:start w:val="1"/>
      <w:numFmt w:val="lowerLetter"/>
      <w:pStyle w:val="SchedH3"/>
      <w:lvlText w:val="(%3)"/>
      <w:lvlJc w:val="left"/>
      <w:pPr>
        <w:tabs>
          <w:tab w:val="num" w:pos="1474"/>
        </w:tabs>
        <w:ind w:left="1474" w:hanging="737"/>
      </w:pPr>
    </w:lvl>
    <w:lvl w:ilvl="3">
      <w:start w:val="1"/>
      <w:numFmt w:val="lowerRoman"/>
      <w:pStyle w:val="SchedH4"/>
      <w:lvlText w:val="(%4)"/>
      <w:lvlJc w:val="left"/>
      <w:pPr>
        <w:tabs>
          <w:tab w:val="num" w:pos="2211"/>
        </w:tabs>
        <w:ind w:left="2211" w:hanging="737"/>
      </w:pPr>
    </w:lvl>
    <w:lvl w:ilvl="4">
      <w:start w:val="1"/>
      <w:numFmt w:val="upperLetter"/>
      <w:pStyle w:val="SchedH5"/>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abstractNum w:abstractNumId="18" w15:restartNumberingAfterBreak="0">
    <w:nsid w:val="6DD011AE"/>
    <w:multiLevelType w:val="hybridMultilevel"/>
    <w:tmpl w:val="B234F094"/>
    <w:lvl w:ilvl="0" w:tplc="FFFFFFFF">
      <w:start w:val="1"/>
      <w:numFmt w:val="lowerLett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9" w15:restartNumberingAfterBreak="0">
    <w:nsid w:val="76160EC0"/>
    <w:multiLevelType w:val="hybridMultilevel"/>
    <w:tmpl w:val="3970E146"/>
    <w:lvl w:ilvl="0" w:tplc="FFFFFFFF">
      <w:start w:val="1"/>
      <w:numFmt w:val="lowerLetter"/>
      <w:lvlText w:val="(%1)"/>
      <w:lvlJc w:val="left"/>
      <w:pPr>
        <w:ind w:left="1429" w:hanging="360"/>
      </w:pPr>
      <w:rPr>
        <w:rFonts w:hint="default"/>
      </w:rPr>
    </w:lvl>
    <w:lvl w:ilvl="1" w:tplc="FFFFFFFF">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0" w15:restartNumberingAfterBreak="0">
    <w:nsid w:val="77D16A85"/>
    <w:multiLevelType w:val="hybridMultilevel"/>
    <w:tmpl w:val="0594591C"/>
    <w:lvl w:ilvl="0" w:tplc="FFFFFFFF">
      <w:start w:val="1"/>
      <w:numFmt w:val="lowerLett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1" w15:restartNumberingAfterBreak="0">
    <w:nsid w:val="7A8759B5"/>
    <w:multiLevelType w:val="hybridMultilevel"/>
    <w:tmpl w:val="0594591C"/>
    <w:lvl w:ilvl="0" w:tplc="FFFFFFFF">
      <w:start w:val="1"/>
      <w:numFmt w:val="lowerLett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2" w15:restartNumberingAfterBreak="0">
    <w:nsid w:val="7AB96BFA"/>
    <w:multiLevelType w:val="hybridMultilevel"/>
    <w:tmpl w:val="E3B415B0"/>
    <w:lvl w:ilvl="0" w:tplc="64F0A612">
      <w:start w:val="1"/>
      <w:numFmt w:val="none"/>
      <w:pStyle w:val="ResetPara"/>
      <w:lvlText w:val=""/>
      <w:lvlJc w:val="left"/>
      <w:pPr>
        <w:ind w:left="0" w:firstLine="0"/>
      </w:pPr>
      <w:rPr>
        <w:rFonts w:hint="default"/>
      </w:rPr>
    </w:lvl>
    <w:lvl w:ilvl="1" w:tplc="9D1000CE">
      <w:start w:val="1"/>
      <w:numFmt w:val="lowerLetter"/>
      <w:pStyle w:val="TxtNum1"/>
      <w:lvlText w:val="(%2)"/>
      <w:lvlJc w:val="left"/>
      <w:pPr>
        <w:tabs>
          <w:tab w:val="num" w:pos="1276"/>
        </w:tabs>
        <w:ind w:left="1276" w:hanging="567"/>
      </w:pPr>
      <w:rPr>
        <w:rFonts w:hint="default"/>
      </w:rPr>
    </w:lvl>
    <w:lvl w:ilvl="2" w:tplc="4E406014">
      <w:start w:val="1"/>
      <w:numFmt w:val="lowerRoman"/>
      <w:pStyle w:val="TxtNum2"/>
      <w:lvlText w:val="(%3)"/>
      <w:lvlJc w:val="left"/>
      <w:pPr>
        <w:tabs>
          <w:tab w:val="num" w:pos="1843"/>
        </w:tabs>
        <w:ind w:left="1843" w:hanging="567"/>
      </w:pPr>
      <w:rPr>
        <w:rFonts w:hint="default"/>
      </w:rPr>
    </w:lvl>
    <w:lvl w:ilvl="3" w:tplc="69600A20">
      <w:start w:val="1"/>
      <w:numFmt w:val="upperLetter"/>
      <w:pStyle w:val="TxtNum3"/>
      <w:lvlText w:val="(%4)"/>
      <w:lvlJc w:val="left"/>
      <w:pPr>
        <w:tabs>
          <w:tab w:val="num" w:pos="1843"/>
        </w:tabs>
        <w:ind w:left="2410" w:hanging="567"/>
      </w:pPr>
      <w:rPr>
        <w:rFonts w:hint="default"/>
      </w:rPr>
    </w:lvl>
    <w:lvl w:ilvl="4" w:tplc="DEF61014">
      <w:start w:val="1"/>
      <w:numFmt w:val="lowerLetter"/>
      <w:lvlText w:val="(%5)"/>
      <w:lvlJc w:val="left"/>
      <w:pPr>
        <w:ind w:left="1800" w:hanging="360"/>
      </w:pPr>
      <w:rPr>
        <w:rFonts w:hint="default"/>
      </w:rPr>
    </w:lvl>
    <w:lvl w:ilvl="5" w:tplc="25708D1E">
      <w:start w:val="1"/>
      <w:numFmt w:val="lowerRoman"/>
      <w:lvlText w:val="(%6)"/>
      <w:lvlJc w:val="left"/>
      <w:pPr>
        <w:ind w:left="2160" w:hanging="360"/>
      </w:pPr>
      <w:rPr>
        <w:rFonts w:hint="default"/>
      </w:rPr>
    </w:lvl>
    <w:lvl w:ilvl="6" w:tplc="26F273C6">
      <w:start w:val="1"/>
      <w:numFmt w:val="decimal"/>
      <w:lvlText w:val="%7."/>
      <w:lvlJc w:val="left"/>
      <w:pPr>
        <w:ind w:left="2520" w:hanging="360"/>
      </w:pPr>
      <w:rPr>
        <w:rFonts w:hint="default"/>
      </w:rPr>
    </w:lvl>
    <w:lvl w:ilvl="7" w:tplc="D6F2B6FC">
      <w:start w:val="1"/>
      <w:numFmt w:val="lowerLetter"/>
      <w:lvlText w:val="%8."/>
      <w:lvlJc w:val="left"/>
      <w:pPr>
        <w:ind w:left="2880" w:hanging="360"/>
      </w:pPr>
      <w:rPr>
        <w:rFonts w:hint="default"/>
      </w:rPr>
    </w:lvl>
    <w:lvl w:ilvl="8" w:tplc="9104D36A">
      <w:start w:val="1"/>
      <w:numFmt w:val="lowerRoman"/>
      <w:lvlText w:val="%9."/>
      <w:lvlJc w:val="left"/>
      <w:pPr>
        <w:ind w:left="3240" w:hanging="360"/>
      </w:pPr>
      <w:rPr>
        <w:rFonts w:hint="default"/>
      </w:rPr>
    </w:lvl>
  </w:abstractNum>
  <w:abstractNum w:abstractNumId="23" w15:restartNumberingAfterBreak="0">
    <w:nsid w:val="7D822A68"/>
    <w:multiLevelType w:val="hybridMultilevel"/>
    <w:tmpl w:val="90742460"/>
    <w:lvl w:ilvl="0" w:tplc="D97E5FFA">
      <w:start w:val="1"/>
      <w:numFmt w:val="bullet"/>
      <w:pStyle w:val="LRDP12"/>
      <w:lvlText w:val=""/>
      <w:lvlJc w:val="left"/>
      <w:pPr>
        <w:tabs>
          <w:tab w:val="num" w:pos="709"/>
        </w:tabs>
        <w:ind w:left="709" w:hanging="709"/>
      </w:pPr>
      <w:rPr>
        <w:rFonts w:ascii="Symbol" w:hAnsi="Symbol" w:hint="default"/>
        <w:sz w:val="2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2F7160"/>
    <w:multiLevelType w:val="multilevel"/>
    <w:tmpl w:val="40F6714C"/>
    <w:lvl w:ilvl="0">
      <w:start w:val="1"/>
      <w:numFmt w:val="decimal"/>
      <w:pStyle w:val="test2"/>
      <w:lvlText w:val="%1."/>
      <w:lvlJc w:val="left"/>
      <w:pPr>
        <w:tabs>
          <w:tab w:val="num" w:pos="1437"/>
        </w:tabs>
        <w:ind w:left="1361" w:hanging="284"/>
      </w:pPr>
      <w:rPr>
        <w:rFonts w:hint="default"/>
      </w:rPr>
    </w:lvl>
    <w:lvl w:ilvl="1">
      <w:start w:val="1"/>
      <w:numFmt w:val="decimal"/>
      <w:pStyle w:val="Heading2"/>
      <w:lvlText w:val="%1.%2"/>
      <w:lvlJc w:val="left"/>
      <w:pPr>
        <w:tabs>
          <w:tab w:val="num" w:pos="1814"/>
        </w:tabs>
        <w:ind w:left="1814" w:hanging="396"/>
      </w:pPr>
      <w:rPr>
        <w:rFonts w:hint="default"/>
      </w:rPr>
    </w:lvl>
    <w:lvl w:ilvl="2">
      <w:start w:val="1"/>
      <w:numFmt w:val="decimal"/>
      <w:pStyle w:val="Heading3"/>
      <w:lvlText w:val="%1.%2.%3"/>
      <w:lvlJc w:val="left"/>
      <w:pPr>
        <w:tabs>
          <w:tab w:val="num" w:pos="2438"/>
        </w:tabs>
        <w:ind w:left="2438" w:hanging="567"/>
      </w:pPr>
      <w:rPr>
        <w:rFonts w:hint="default"/>
      </w:rPr>
    </w:lvl>
    <w:lvl w:ilvl="3">
      <w:start w:val="1"/>
      <w:numFmt w:val="decimal"/>
      <w:pStyle w:val="Heading4"/>
      <w:lvlText w:val="%1.%2.%3.%4"/>
      <w:lvlJc w:val="left"/>
      <w:pPr>
        <w:tabs>
          <w:tab w:val="num" w:pos="0"/>
        </w:tabs>
        <w:ind w:left="0" w:firstLine="0"/>
      </w:pPr>
      <w:rPr>
        <w:rFonts w:hint="default"/>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0"/>
        </w:tabs>
        <w:ind w:left="0" w:firstLine="0"/>
      </w:pPr>
      <w:rPr>
        <w:rFonts w:hint="default"/>
      </w:rPr>
    </w:lvl>
    <w:lvl w:ilvl="6">
      <w:start w:val="1"/>
      <w:numFmt w:val="decimal"/>
      <w:pStyle w:val="Heading7"/>
      <w:lvlText w:val="%1.%2.%3.%4.%5.%6.%7"/>
      <w:lvlJc w:val="left"/>
      <w:pPr>
        <w:tabs>
          <w:tab w:val="num" w:pos="0"/>
        </w:tabs>
        <w:ind w:left="0" w:firstLine="0"/>
      </w:pPr>
      <w:rPr>
        <w:rFonts w:hint="default"/>
      </w:rPr>
    </w:lvl>
    <w:lvl w:ilvl="7">
      <w:start w:val="1"/>
      <w:numFmt w:val="decimal"/>
      <w:pStyle w:val="Heading8"/>
      <w:lvlText w:val="%1.%2.%3.%4.%5.%6.%7.%8"/>
      <w:lvlJc w:val="left"/>
      <w:pPr>
        <w:tabs>
          <w:tab w:val="num" w:pos="0"/>
        </w:tabs>
        <w:ind w:left="0" w:firstLine="0"/>
      </w:pPr>
      <w:rPr>
        <w:rFonts w:hint="default"/>
      </w:rPr>
    </w:lvl>
    <w:lvl w:ilvl="8">
      <w:start w:val="1"/>
      <w:numFmt w:val="decimal"/>
      <w:pStyle w:val="Heading9"/>
      <w:lvlText w:val="%1.%2.%3.%4.%5.%6.%7.%8.%9"/>
      <w:lvlJc w:val="left"/>
      <w:pPr>
        <w:tabs>
          <w:tab w:val="num" w:pos="0"/>
        </w:tabs>
        <w:ind w:left="0" w:firstLine="0"/>
      </w:pPr>
      <w:rPr>
        <w:rFonts w:hint="default"/>
      </w:rPr>
    </w:lvl>
  </w:abstractNum>
  <w:abstractNum w:abstractNumId="25" w15:restartNumberingAfterBreak="0">
    <w:nsid w:val="7FB472A5"/>
    <w:multiLevelType w:val="hybridMultilevel"/>
    <w:tmpl w:val="73D08758"/>
    <w:lvl w:ilvl="0" w:tplc="FFFFFFFF">
      <w:start w:val="1"/>
      <w:numFmt w:val="lowerLett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num w:numId="1" w16cid:durableId="2118787399">
    <w:abstractNumId w:val="0"/>
  </w:num>
  <w:num w:numId="2" w16cid:durableId="323359568">
    <w:abstractNumId w:val="24"/>
  </w:num>
  <w:num w:numId="3" w16cid:durableId="164129301">
    <w:abstractNumId w:val="16"/>
  </w:num>
  <w:num w:numId="4" w16cid:durableId="2063484270">
    <w:abstractNumId w:val="17"/>
  </w:num>
  <w:num w:numId="5" w16cid:durableId="285506472">
    <w:abstractNumId w:val="12"/>
  </w:num>
  <w:num w:numId="6" w16cid:durableId="1006710758">
    <w:abstractNumId w:val="23"/>
  </w:num>
  <w:num w:numId="7" w16cid:durableId="19770250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12620646">
    <w:abstractNumId w:val="6"/>
  </w:num>
  <w:num w:numId="9" w16cid:durableId="2010519786">
    <w:abstractNumId w:val="22"/>
  </w:num>
  <w:num w:numId="10" w16cid:durableId="1964338484">
    <w:abstractNumId w:val="2"/>
  </w:num>
  <w:num w:numId="11" w16cid:durableId="728502898">
    <w:abstractNumId w:val="9"/>
  </w:num>
  <w:num w:numId="12" w16cid:durableId="705525435">
    <w:abstractNumId w:val="15"/>
  </w:num>
  <w:num w:numId="13" w16cid:durableId="726803988">
    <w:abstractNumId w:val="8"/>
  </w:num>
  <w:num w:numId="14" w16cid:durableId="885606083">
    <w:abstractNumId w:val="10"/>
  </w:num>
  <w:num w:numId="15" w16cid:durableId="536049152">
    <w:abstractNumId w:val="3"/>
  </w:num>
  <w:num w:numId="16" w16cid:durableId="1082600688">
    <w:abstractNumId w:val="11"/>
  </w:num>
  <w:num w:numId="17" w16cid:durableId="3630889">
    <w:abstractNumId w:val="25"/>
  </w:num>
  <w:num w:numId="18" w16cid:durableId="1288123175">
    <w:abstractNumId w:val="20"/>
  </w:num>
  <w:num w:numId="19" w16cid:durableId="200899821">
    <w:abstractNumId w:val="19"/>
  </w:num>
  <w:num w:numId="20" w16cid:durableId="1837727070">
    <w:abstractNumId w:val="18"/>
  </w:num>
  <w:num w:numId="21" w16cid:durableId="419764904">
    <w:abstractNumId w:val="4"/>
  </w:num>
  <w:num w:numId="22" w16cid:durableId="1429547969">
    <w:abstractNumId w:val="1"/>
  </w:num>
  <w:num w:numId="23" w16cid:durableId="1948271352">
    <w:abstractNumId w:val="14"/>
  </w:num>
  <w:num w:numId="24" w16cid:durableId="503514543">
    <w:abstractNumId w:val="13"/>
  </w:num>
  <w:num w:numId="25" w16cid:durableId="1231581646">
    <w:abstractNumId w:val="5"/>
  </w:num>
  <w:num w:numId="26" w16cid:durableId="1047147398">
    <w:abstractNumId w:val="7"/>
  </w:num>
  <w:num w:numId="27" w16cid:durableId="1346713025">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B7D"/>
    <w:rsid w:val="00000CF0"/>
    <w:rsid w:val="00002B17"/>
    <w:rsid w:val="00003A94"/>
    <w:rsid w:val="00007D26"/>
    <w:rsid w:val="00010A34"/>
    <w:rsid w:val="00010EDE"/>
    <w:rsid w:val="0001207D"/>
    <w:rsid w:val="00015BEC"/>
    <w:rsid w:val="000161B5"/>
    <w:rsid w:val="000245A1"/>
    <w:rsid w:val="00025116"/>
    <w:rsid w:val="00025B27"/>
    <w:rsid w:val="00026222"/>
    <w:rsid w:val="00026549"/>
    <w:rsid w:val="00027112"/>
    <w:rsid w:val="0003057C"/>
    <w:rsid w:val="0003201E"/>
    <w:rsid w:val="00032432"/>
    <w:rsid w:val="0003382C"/>
    <w:rsid w:val="00034CED"/>
    <w:rsid w:val="00036570"/>
    <w:rsid w:val="00040761"/>
    <w:rsid w:val="00041F03"/>
    <w:rsid w:val="000454C7"/>
    <w:rsid w:val="00046732"/>
    <w:rsid w:val="00046A0D"/>
    <w:rsid w:val="00046FA5"/>
    <w:rsid w:val="000472CD"/>
    <w:rsid w:val="0004773A"/>
    <w:rsid w:val="0005173D"/>
    <w:rsid w:val="00052742"/>
    <w:rsid w:val="00052F4E"/>
    <w:rsid w:val="00056696"/>
    <w:rsid w:val="000614C7"/>
    <w:rsid w:val="000722E2"/>
    <w:rsid w:val="00073377"/>
    <w:rsid w:val="0007342C"/>
    <w:rsid w:val="000741A9"/>
    <w:rsid w:val="00074578"/>
    <w:rsid w:val="00074655"/>
    <w:rsid w:val="0007479A"/>
    <w:rsid w:val="00076FB9"/>
    <w:rsid w:val="0007774A"/>
    <w:rsid w:val="00077AA7"/>
    <w:rsid w:val="0008294D"/>
    <w:rsid w:val="00083C16"/>
    <w:rsid w:val="00084851"/>
    <w:rsid w:val="00084C31"/>
    <w:rsid w:val="00085EC3"/>
    <w:rsid w:val="00086D98"/>
    <w:rsid w:val="00087342"/>
    <w:rsid w:val="00090C10"/>
    <w:rsid w:val="000929C5"/>
    <w:rsid w:val="00094227"/>
    <w:rsid w:val="00096763"/>
    <w:rsid w:val="00096C4D"/>
    <w:rsid w:val="000A027C"/>
    <w:rsid w:val="000A2057"/>
    <w:rsid w:val="000A32B5"/>
    <w:rsid w:val="000A3DFE"/>
    <w:rsid w:val="000A4225"/>
    <w:rsid w:val="000A4FFF"/>
    <w:rsid w:val="000A5173"/>
    <w:rsid w:val="000A5F24"/>
    <w:rsid w:val="000A67DD"/>
    <w:rsid w:val="000A7485"/>
    <w:rsid w:val="000A7BE6"/>
    <w:rsid w:val="000B3E42"/>
    <w:rsid w:val="000B51A2"/>
    <w:rsid w:val="000B5C58"/>
    <w:rsid w:val="000B6F80"/>
    <w:rsid w:val="000C079A"/>
    <w:rsid w:val="000C1594"/>
    <w:rsid w:val="000C5BDA"/>
    <w:rsid w:val="000C71E3"/>
    <w:rsid w:val="000C76DB"/>
    <w:rsid w:val="000D1E0A"/>
    <w:rsid w:val="000D25EF"/>
    <w:rsid w:val="000D44EC"/>
    <w:rsid w:val="000E2612"/>
    <w:rsid w:val="000E33EF"/>
    <w:rsid w:val="000E4C64"/>
    <w:rsid w:val="000E6D07"/>
    <w:rsid w:val="000F12E7"/>
    <w:rsid w:val="000F14A6"/>
    <w:rsid w:val="000F2465"/>
    <w:rsid w:val="000F2B92"/>
    <w:rsid w:val="00104073"/>
    <w:rsid w:val="00104C25"/>
    <w:rsid w:val="001078EE"/>
    <w:rsid w:val="00110646"/>
    <w:rsid w:val="001106AA"/>
    <w:rsid w:val="0011322D"/>
    <w:rsid w:val="001164DA"/>
    <w:rsid w:val="00126B5C"/>
    <w:rsid w:val="0012714D"/>
    <w:rsid w:val="00131D4A"/>
    <w:rsid w:val="00134B52"/>
    <w:rsid w:val="00140555"/>
    <w:rsid w:val="00140BAB"/>
    <w:rsid w:val="00140EE3"/>
    <w:rsid w:val="001517B2"/>
    <w:rsid w:val="001518BA"/>
    <w:rsid w:val="00151F37"/>
    <w:rsid w:val="00154B66"/>
    <w:rsid w:val="001553A9"/>
    <w:rsid w:val="001557EF"/>
    <w:rsid w:val="001561A9"/>
    <w:rsid w:val="00162685"/>
    <w:rsid w:val="00162740"/>
    <w:rsid w:val="00164F1E"/>
    <w:rsid w:val="001675B4"/>
    <w:rsid w:val="001715FB"/>
    <w:rsid w:val="001717F8"/>
    <w:rsid w:val="00172AFA"/>
    <w:rsid w:val="001748F2"/>
    <w:rsid w:val="00175F5F"/>
    <w:rsid w:val="001764DD"/>
    <w:rsid w:val="00182DC5"/>
    <w:rsid w:val="001839A3"/>
    <w:rsid w:val="00184B78"/>
    <w:rsid w:val="00185025"/>
    <w:rsid w:val="00185251"/>
    <w:rsid w:val="00185852"/>
    <w:rsid w:val="00191915"/>
    <w:rsid w:val="001945D0"/>
    <w:rsid w:val="00195ED3"/>
    <w:rsid w:val="001A495E"/>
    <w:rsid w:val="001A7E48"/>
    <w:rsid w:val="001B2139"/>
    <w:rsid w:val="001B2C2B"/>
    <w:rsid w:val="001B2CF3"/>
    <w:rsid w:val="001B35E7"/>
    <w:rsid w:val="001C7CAC"/>
    <w:rsid w:val="001D06DE"/>
    <w:rsid w:val="001D1280"/>
    <w:rsid w:val="001D4DA1"/>
    <w:rsid w:val="001D63BA"/>
    <w:rsid w:val="001D7EAD"/>
    <w:rsid w:val="001E0566"/>
    <w:rsid w:val="001E125D"/>
    <w:rsid w:val="001E4516"/>
    <w:rsid w:val="001E49C7"/>
    <w:rsid w:val="001E5935"/>
    <w:rsid w:val="001E642F"/>
    <w:rsid w:val="001F141C"/>
    <w:rsid w:val="001F54E7"/>
    <w:rsid w:val="001F7F9A"/>
    <w:rsid w:val="002008D2"/>
    <w:rsid w:val="00203F9E"/>
    <w:rsid w:val="00204268"/>
    <w:rsid w:val="0020594B"/>
    <w:rsid w:val="002059DE"/>
    <w:rsid w:val="00206C32"/>
    <w:rsid w:val="00206C78"/>
    <w:rsid w:val="00211550"/>
    <w:rsid w:val="00211602"/>
    <w:rsid w:val="00211F51"/>
    <w:rsid w:val="0021288B"/>
    <w:rsid w:val="00212C42"/>
    <w:rsid w:val="002130DC"/>
    <w:rsid w:val="00216874"/>
    <w:rsid w:val="0021702B"/>
    <w:rsid w:val="00217FF5"/>
    <w:rsid w:val="00220ECF"/>
    <w:rsid w:val="00221033"/>
    <w:rsid w:val="00221044"/>
    <w:rsid w:val="0022509E"/>
    <w:rsid w:val="0022707A"/>
    <w:rsid w:val="002313F6"/>
    <w:rsid w:val="002328EE"/>
    <w:rsid w:val="00233971"/>
    <w:rsid w:val="002402DF"/>
    <w:rsid w:val="00240369"/>
    <w:rsid w:val="00242FA7"/>
    <w:rsid w:val="002448C3"/>
    <w:rsid w:val="002500BE"/>
    <w:rsid w:val="002500C4"/>
    <w:rsid w:val="00251991"/>
    <w:rsid w:val="00251FAC"/>
    <w:rsid w:val="00252E95"/>
    <w:rsid w:val="002548A4"/>
    <w:rsid w:val="0026260B"/>
    <w:rsid w:val="00263D24"/>
    <w:rsid w:val="0026596B"/>
    <w:rsid w:val="00265CC3"/>
    <w:rsid w:val="002666AE"/>
    <w:rsid w:val="00270F13"/>
    <w:rsid w:val="002744CA"/>
    <w:rsid w:val="002746BF"/>
    <w:rsid w:val="00275042"/>
    <w:rsid w:val="00276BC7"/>
    <w:rsid w:val="002773DC"/>
    <w:rsid w:val="002810CD"/>
    <w:rsid w:val="00285E0A"/>
    <w:rsid w:val="0029086C"/>
    <w:rsid w:val="00290A72"/>
    <w:rsid w:val="0029137D"/>
    <w:rsid w:val="00292AC2"/>
    <w:rsid w:val="00293A8B"/>
    <w:rsid w:val="002A6582"/>
    <w:rsid w:val="002B0D4C"/>
    <w:rsid w:val="002B0FFB"/>
    <w:rsid w:val="002B1E61"/>
    <w:rsid w:val="002B3DD7"/>
    <w:rsid w:val="002B6FE5"/>
    <w:rsid w:val="002B764A"/>
    <w:rsid w:val="002C0907"/>
    <w:rsid w:val="002C1640"/>
    <w:rsid w:val="002C7767"/>
    <w:rsid w:val="002D453D"/>
    <w:rsid w:val="002D4ABC"/>
    <w:rsid w:val="002D5147"/>
    <w:rsid w:val="002D5988"/>
    <w:rsid w:val="002D7D13"/>
    <w:rsid w:val="002E0A44"/>
    <w:rsid w:val="002E39C3"/>
    <w:rsid w:val="002E49CF"/>
    <w:rsid w:val="002E4A75"/>
    <w:rsid w:val="002E763B"/>
    <w:rsid w:val="002F4CD1"/>
    <w:rsid w:val="002F5903"/>
    <w:rsid w:val="002F69D3"/>
    <w:rsid w:val="0030070C"/>
    <w:rsid w:val="00301967"/>
    <w:rsid w:val="00305CA9"/>
    <w:rsid w:val="00313246"/>
    <w:rsid w:val="00313941"/>
    <w:rsid w:val="00314503"/>
    <w:rsid w:val="00314A1D"/>
    <w:rsid w:val="00315BED"/>
    <w:rsid w:val="00316BA5"/>
    <w:rsid w:val="00321D29"/>
    <w:rsid w:val="00321F48"/>
    <w:rsid w:val="00322199"/>
    <w:rsid w:val="00330EC1"/>
    <w:rsid w:val="00336381"/>
    <w:rsid w:val="00340C70"/>
    <w:rsid w:val="003436A3"/>
    <w:rsid w:val="003440E1"/>
    <w:rsid w:val="003443A9"/>
    <w:rsid w:val="00344843"/>
    <w:rsid w:val="00345AEC"/>
    <w:rsid w:val="00345CC4"/>
    <w:rsid w:val="00345CE0"/>
    <w:rsid w:val="00346B79"/>
    <w:rsid w:val="003503C0"/>
    <w:rsid w:val="00351BC2"/>
    <w:rsid w:val="00351F0D"/>
    <w:rsid w:val="00352889"/>
    <w:rsid w:val="00354427"/>
    <w:rsid w:val="003548BD"/>
    <w:rsid w:val="0035710F"/>
    <w:rsid w:val="003579D1"/>
    <w:rsid w:val="00357EE6"/>
    <w:rsid w:val="00362C39"/>
    <w:rsid w:val="003638C3"/>
    <w:rsid w:val="00365532"/>
    <w:rsid w:val="003661AB"/>
    <w:rsid w:val="00370172"/>
    <w:rsid w:val="003728BF"/>
    <w:rsid w:val="00375A23"/>
    <w:rsid w:val="00382432"/>
    <w:rsid w:val="003826A3"/>
    <w:rsid w:val="00382C9B"/>
    <w:rsid w:val="00385DA2"/>
    <w:rsid w:val="00386A32"/>
    <w:rsid w:val="00387BA4"/>
    <w:rsid w:val="00392CD1"/>
    <w:rsid w:val="00394555"/>
    <w:rsid w:val="00394BA2"/>
    <w:rsid w:val="00395FA4"/>
    <w:rsid w:val="003968E5"/>
    <w:rsid w:val="003A0238"/>
    <w:rsid w:val="003A1331"/>
    <w:rsid w:val="003A518A"/>
    <w:rsid w:val="003A59F2"/>
    <w:rsid w:val="003A79C6"/>
    <w:rsid w:val="003B118B"/>
    <w:rsid w:val="003B11C2"/>
    <w:rsid w:val="003B2476"/>
    <w:rsid w:val="003B3541"/>
    <w:rsid w:val="003B6778"/>
    <w:rsid w:val="003B6E2E"/>
    <w:rsid w:val="003B72C6"/>
    <w:rsid w:val="003B7B74"/>
    <w:rsid w:val="003C1FBD"/>
    <w:rsid w:val="003C2A98"/>
    <w:rsid w:val="003C3FFE"/>
    <w:rsid w:val="003C508F"/>
    <w:rsid w:val="003C5F48"/>
    <w:rsid w:val="003C7150"/>
    <w:rsid w:val="003D1406"/>
    <w:rsid w:val="003D17C8"/>
    <w:rsid w:val="003D3D6C"/>
    <w:rsid w:val="003D3DF9"/>
    <w:rsid w:val="003D4D99"/>
    <w:rsid w:val="003D7D76"/>
    <w:rsid w:val="003E2A07"/>
    <w:rsid w:val="003E4356"/>
    <w:rsid w:val="003E5634"/>
    <w:rsid w:val="003E584E"/>
    <w:rsid w:val="003E7993"/>
    <w:rsid w:val="003E7E19"/>
    <w:rsid w:val="003F1161"/>
    <w:rsid w:val="003F4118"/>
    <w:rsid w:val="003F6AD1"/>
    <w:rsid w:val="003F6D45"/>
    <w:rsid w:val="003F789C"/>
    <w:rsid w:val="00400701"/>
    <w:rsid w:val="00400F15"/>
    <w:rsid w:val="00401A23"/>
    <w:rsid w:val="004056E0"/>
    <w:rsid w:val="00406CDA"/>
    <w:rsid w:val="0041249D"/>
    <w:rsid w:val="00414252"/>
    <w:rsid w:val="0041515C"/>
    <w:rsid w:val="0042012F"/>
    <w:rsid w:val="004231F9"/>
    <w:rsid w:val="00423C5E"/>
    <w:rsid w:val="00430449"/>
    <w:rsid w:val="00432C49"/>
    <w:rsid w:val="00432FA0"/>
    <w:rsid w:val="00433064"/>
    <w:rsid w:val="004338AF"/>
    <w:rsid w:val="0043415D"/>
    <w:rsid w:val="00434169"/>
    <w:rsid w:val="004369A4"/>
    <w:rsid w:val="00437985"/>
    <w:rsid w:val="00440E38"/>
    <w:rsid w:val="00445993"/>
    <w:rsid w:val="004462B4"/>
    <w:rsid w:val="00450EA2"/>
    <w:rsid w:val="0045342E"/>
    <w:rsid w:val="00453982"/>
    <w:rsid w:val="00456147"/>
    <w:rsid w:val="004574B9"/>
    <w:rsid w:val="00457D25"/>
    <w:rsid w:val="0046286E"/>
    <w:rsid w:val="00464B99"/>
    <w:rsid w:val="00466F53"/>
    <w:rsid w:val="00472085"/>
    <w:rsid w:val="00474103"/>
    <w:rsid w:val="00475F2A"/>
    <w:rsid w:val="004768B7"/>
    <w:rsid w:val="004775AA"/>
    <w:rsid w:val="00480065"/>
    <w:rsid w:val="00481480"/>
    <w:rsid w:val="004832C0"/>
    <w:rsid w:val="00483D43"/>
    <w:rsid w:val="004855F8"/>
    <w:rsid w:val="00494532"/>
    <w:rsid w:val="004947AF"/>
    <w:rsid w:val="004956B9"/>
    <w:rsid w:val="004961DE"/>
    <w:rsid w:val="00497D98"/>
    <w:rsid w:val="004A02F3"/>
    <w:rsid w:val="004A14CC"/>
    <w:rsid w:val="004A1C0E"/>
    <w:rsid w:val="004A3C7E"/>
    <w:rsid w:val="004A3F86"/>
    <w:rsid w:val="004A4584"/>
    <w:rsid w:val="004A4FAC"/>
    <w:rsid w:val="004A5A40"/>
    <w:rsid w:val="004B1965"/>
    <w:rsid w:val="004B2B92"/>
    <w:rsid w:val="004B728E"/>
    <w:rsid w:val="004B7540"/>
    <w:rsid w:val="004B7B50"/>
    <w:rsid w:val="004C2A42"/>
    <w:rsid w:val="004C2CD7"/>
    <w:rsid w:val="004C4229"/>
    <w:rsid w:val="004C4BBF"/>
    <w:rsid w:val="004C7C9A"/>
    <w:rsid w:val="004D02E0"/>
    <w:rsid w:val="004D0A04"/>
    <w:rsid w:val="004D27D5"/>
    <w:rsid w:val="004D3AC8"/>
    <w:rsid w:val="004D473C"/>
    <w:rsid w:val="004D4970"/>
    <w:rsid w:val="004D531B"/>
    <w:rsid w:val="004D5BE4"/>
    <w:rsid w:val="004E09C9"/>
    <w:rsid w:val="004E40EA"/>
    <w:rsid w:val="004E4A78"/>
    <w:rsid w:val="004E5D04"/>
    <w:rsid w:val="004E5F07"/>
    <w:rsid w:val="004E7DBD"/>
    <w:rsid w:val="004F3813"/>
    <w:rsid w:val="004F60BA"/>
    <w:rsid w:val="004F7C7D"/>
    <w:rsid w:val="00500FED"/>
    <w:rsid w:val="005019AD"/>
    <w:rsid w:val="005026D8"/>
    <w:rsid w:val="005035BA"/>
    <w:rsid w:val="00503772"/>
    <w:rsid w:val="00504D69"/>
    <w:rsid w:val="00504FD5"/>
    <w:rsid w:val="005145AC"/>
    <w:rsid w:val="005166D5"/>
    <w:rsid w:val="00516BC0"/>
    <w:rsid w:val="00517316"/>
    <w:rsid w:val="00522DDB"/>
    <w:rsid w:val="005256DF"/>
    <w:rsid w:val="005260A2"/>
    <w:rsid w:val="0052708E"/>
    <w:rsid w:val="00531C0F"/>
    <w:rsid w:val="00534F50"/>
    <w:rsid w:val="00536A49"/>
    <w:rsid w:val="00540648"/>
    <w:rsid w:val="00541AA8"/>
    <w:rsid w:val="00541E79"/>
    <w:rsid w:val="00544962"/>
    <w:rsid w:val="00546225"/>
    <w:rsid w:val="005476D7"/>
    <w:rsid w:val="00550E2F"/>
    <w:rsid w:val="00551055"/>
    <w:rsid w:val="00552126"/>
    <w:rsid w:val="005571AF"/>
    <w:rsid w:val="00562F74"/>
    <w:rsid w:val="005630A2"/>
    <w:rsid w:val="0056329E"/>
    <w:rsid w:val="00564224"/>
    <w:rsid w:val="00564F6D"/>
    <w:rsid w:val="00566285"/>
    <w:rsid w:val="00566E13"/>
    <w:rsid w:val="00571CC6"/>
    <w:rsid w:val="0057270F"/>
    <w:rsid w:val="00574D3E"/>
    <w:rsid w:val="005767F0"/>
    <w:rsid w:val="00576812"/>
    <w:rsid w:val="005769BF"/>
    <w:rsid w:val="0058210D"/>
    <w:rsid w:val="00582BE2"/>
    <w:rsid w:val="00583F2C"/>
    <w:rsid w:val="005871DE"/>
    <w:rsid w:val="00587B1A"/>
    <w:rsid w:val="00591E4A"/>
    <w:rsid w:val="00593D97"/>
    <w:rsid w:val="00596D27"/>
    <w:rsid w:val="005A245F"/>
    <w:rsid w:val="005A25B0"/>
    <w:rsid w:val="005A32FC"/>
    <w:rsid w:val="005A56C0"/>
    <w:rsid w:val="005A5B29"/>
    <w:rsid w:val="005B2C81"/>
    <w:rsid w:val="005B470A"/>
    <w:rsid w:val="005C2329"/>
    <w:rsid w:val="005C4609"/>
    <w:rsid w:val="005C5C18"/>
    <w:rsid w:val="005C641A"/>
    <w:rsid w:val="005D099D"/>
    <w:rsid w:val="005D1348"/>
    <w:rsid w:val="005D2393"/>
    <w:rsid w:val="005D3307"/>
    <w:rsid w:val="005D6C5E"/>
    <w:rsid w:val="005E30F5"/>
    <w:rsid w:val="005E550C"/>
    <w:rsid w:val="005E657F"/>
    <w:rsid w:val="005F2E92"/>
    <w:rsid w:val="005F3948"/>
    <w:rsid w:val="005F3AF2"/>
    <w:rsid w:val="00601499"/>
    <w:rsid w:val="006018A6"/>
    <w:rsid w:val="00601A1B"/>
    <w:rsid w:val="00601C86"/>
    <w:rsid w:val="00601C99"/>
    <w:rsid w:val="00604020"/>
    <w:rsid w:val="00604B61"/>
    <w:rsid w:val="00604F81"/>
    <w:rsid w:val="00605B43"/>
    <w:rsid w:val="0060667C"/>
    <w:rsid w:val="00613382"/>
    <w:rsid w:val="00614849"/>
    <w:rsid w:val="006257B5"/>
    <w:rsid w:val="00626D19"/>
    <w:rsid w:val="00627B40"/>
    <w:rsid w:val="006332B4"/>
    <w:rsid w:val="00635287"/>
    <w:rsid w:val="006354AC"/>
    <w:rsid w:val="006360DC"/>
    <w:rsid w:val="0064064B"/>
    <w:rsid w:val="006414AE"/>
    <w:rsid w:val="006428CD"/>
    <w:rsid w:val="00645563"/>
    <w:rsid w:val="00646F01"/>
    <w:rsid w:val="006502BA"/>
    <w:rsid w:val="006516F0"/>
    <w:rsid w:val="00653848"/>
    <w:rsid w:val="00654FF9"/>
    <w:rsid w:val="00655612"/>
    <w:rsid w:val="00660423"/>
    <w:rsid w:val="006611AB"/>
    <w:rsid w:val="0066701D"/>
    <w:rsid w:val="00670A43"/>
    <w:rsid w:val="00670ECB"/>
    <w:rsid w:val="0067232D"/>
    <w:rsid w:val="0067261E"/>
    <w:rsid w:val="00673A75"/>
    <w:rsid w:val="00675C87"/>
    <w:rsid w:val="00676829"/>
    <w:rsid w:val="00676B86"/>
    <w:rsid w:val="006771F3"/>
    <w:rsid w:val="00680B25"/>
    <w:rsid w:val="00682007"/>
    <w:rsid w:val="006833EB"/>
    <w:rsid w:val="006839E2"/>
    <w:rsid w:val="006851E5"/>
    <w:rsid w:val="00685349"/>
    <w:rsid w:val="00685703"/>
    <w:rsid w:val="0068610E"/>
    <w:rsid w:val="00691224"/>
    <w:rsid w:val="00691805"/>
    <w:rsid w:val="0069311F"/>
    <w:rsid w:val="006933B9"/>
    <w:rsid w:val="00695E2A"/>
    <w:rsid w:val="00697D77"/>
    <w:rsid w:val="00697F55"/>
    <w:rsid w:val="006A27EA"/>
    <w:rsid w:val="006A5B49"/>
    <w:rsid w:val="006A73C1"/>
    <w:rsid w:val="006A79C6"/>
    <w:rsid w:val="006B098F"/>
    <w:rsid w:val="006B122D"/>
    <w:rsid w:val="006B1511"/>
    <w:rsid w:val="006B2C41"/>
    <w:rsid w:val="006B2E4F"/>
    <w:rsid w:val="006B4489"/>
    <w:rsid w:val="006B51CE"/>
    <w:rsid w:val="006B71D4"/>
    <w:rsid w:val="006C0ADB"/>
    <w:rsid w:val="006C3E2B"/>
    <w:rsid w:val="006C45E5"/>
    <w:rsid w:val="006C76BF"/>
    <w:rsid w:val="006D0739"/>
    <w:rsid w:val="006D08CC"/>
    <w:rsid w:val="006D2C17"/>
    <w:rsid w:val="006D2FA3"/>
    <w:rsid w:val="006D328E"/>
    <w:rsid w:val="006D7423"/>
    <w:rsid w:val="006E1F4B"/>
    <w:rsid w:val="006E2C29"/>
    <w:rsid w:val="006E6AC4"/>
    <w:rsid w:val="006E7C90"/>
    <w:rsid w:val="006F06EA"/>
    <w:rsid w:val="006F0E9F"/>
    <w:rsid w:val="006F211E"/>
    <w:rsid w:val="006F5D31"/>
    <w:rsid w:val="006F5DAF"/>
    <w:rsid w:val="006F7BB5"/>
    <w:rsid w:val="006F7FE9"/>
    <w:rsid w:val="007000D0"/>
    <w:rsid w:val="00700B09"/>
    <w:rsid w:val="00701784"/>
    <w:rsid w:val="00705261"/>
    <w:rsid w:val="0070599C"/>
    <w:rsid w:val="00705B16"/>
    <w:rsid w:val="00707755"/>
    <w:rsid w:val="00707B00"/>
    <w:rsid w:val="00711033"/>
    <w:rsid w:val="0071384D"/>
    <w:rsid w:val="00715450"/>
    <w:rsid w:val="0071779C"/>
    <w:rsid w:val="00717EA9"/>
    <w:rsid w:val="007206BA"/>
    <w:rsid w:val="0072104A"/>
    <w:rsid w:val="00721821"/>
    <w:rsid w:val="00722B32"/>
    <w:rsid w:val="00722C13"/>
    <w:rsid w:val="00724171"/>
    <w:rsid w:val="00724931"/>
    <w:rsid w:val="007254E7"/>
    <w:rsid w:val="00726035"/>
    <w:rsid w:val="0072709B"/>
    <w:rsid w:val="00727137"/>
    <w:rsid w:val="00731461"/>
    <w:rsid w:val="007322F5"/>
    <w:rsid w:val="00737244"/>
    <w:rsid w:val="0073745C"/>
    <w:rsid w:val="00740E9F"/>
    <w:rsid w:val="007416D0"/>
    <w:rsid w:val="0074474C"/>
    <w:rsid w:val="00750573"/>
    <w:rsid w:val="0075128D"/>
    <w:rsid w:val="0075220B"/>
    <w:rsid w:val="007556AD"/>
    <w:rsid w:val="007560F5"/>
    <w:rsid w:val="00756251"/>
    <w:rsid w:val="0075657C"/>
    <w:rsid w:val="00761495"/>
    <w:rsid w:val="00761E0F"/>
    <w:rsid w:val="00765D83"/>
    <w:rsid w:val="00765E71"/>
    <w:rsid w:val="00766994"/>
    <w:rsid w:val="007735EA"/>
    <w:rsid w:val="007740B6"/>
    <w:rsid w:val="007744DF"/>
    <w:rsid w:val="007754B1"/>
    <w:rsid w:val="0077663C"/>
    <w:rsid w:val="00776EDB"/>
    <w:rsid w:val="00782CE2"/>
    <w:rsid w:val="0078680E"/>
    <w:rsid w:val="007879D4"/>
    <w:rsid w:val="0079027D"/>
    <w:rsid w:val="0079033B"/>
    <w:rsid w:val="00790958"/>
    <w:rsid w:val="00792764"/>
    <w:rsid w:val="007A1219"/>
    <w:rsid w:val="007A1295"/>
    <w:rsid w:val="007A40FB"/>
    <w:rsid w:val="007A7315"/>
    <w:rsid w:val="007B0E07"/>
    <w:rsid w:val="007B1CE1"/>
    <w:rsid w:val="007B293B"/>
    <w:rsid w:val="007B4C9A"/>
    <w:rsid w:val="007B51E1"/>
    <w:rsid w:val="007B7609"/>
    <w:rsid w:val="007B7C28"/>
    <w:rsid w:val="007C1397"/>
    <w:rsid w:val="007C14A9"/>
    <w:rsid w:val="007C24C4"/>
    <w:rsid w:val="007C6AB2"/>
    <w:rsid w:val="007D1BA0"/>
    <w:rsid w:val="007D512F"/>
    <w:rsid w:val="007E21BD"/>
    <w:rsid w:val="007E2AF0"/>
    <w:rsid w:val="007E4E74"/>
    <w:rsid w:val="007E60FB"/>
    <w:rsid w:val="007F0055"/>
    <w:rsid w:val="007F0CD1"/>
    <w:rsid w:val="007F16A6"/>
    <w:rsid w:val="007F378E"/>
    <w:rsid w:val="007F70DD"/>
    <w:rsid w:val="008025E2"/>
    <w:rsid w:val="00803390"/>
    <w:rsid w:val="0080618E"/>
    <w:rsid w:val="00806ED4"/>
    <w:rsid w:val="0081095F"/>
    <w:rsid w:val="00811500"/>
    <w:rsid w:val="00811D82"/>
    <w:rsid w:val="0081720A"/>
    <w:rsid w:val="008172FA"/>
    <w:rsid w:val="00817C1A"/>
    <w:rsid w:val="00821313"/>
    <w:rsid w:val="008220F0"/>
    <w:rsid w:val="00822CC4"/>
    <w:rsid w:val="00823E2A"/>
    <w:rsid w:val="00830AD9"/>
    <w:rsid w:val="00830EEA"/>
    <w:rsid w:val="00831205"/>
    <w:rsid w:val="00833A60"/>
    <w:rsid w:val="00833E0A"/>
    <w:rsid w:val="00837C9F"/>
    <w:rsid w:val="00837FAC"/>
    <w:rsid w:val="00844D9C"/>
    <w:rsid w:val="00851B83"/>
    <w:rsid w:val="00855887"/>
    <w:rsid w:val="008561B5"/>
    <w:rsid w:val="00865554"/>
    <w:rsid w:val="008666A5"/>
    <w:rsid w:val="00870890"/>
    <w:rsid w:val="00875246"/>
    <w:rsid w:val="0087688C"/>
    <w:rsid w:val="00876E2E"/>
    <w:rsid w:val="00877114"/>
    <w:rsid w:val="0087727A"/>
    <w:rsid w:val="00880866"/>
    <w:rsid w:val="00880878"/>
    <w:rsid w:val="00880CB1"/>
    <w:rsid w:val="00881329"/>
    <w:rsid w:val="00881E42"/>
    <w:rsid w:val="0088372E"/>
    <w:rsid w:val="00886971"/>
    <w:rsid w:val="00893368"/>
    <w:rsid w:val="00893AB3"/>
    <w:rsid w:val="008958A0"/>
    <w:rsid w:val="008A28AE"/>
    <w:rsid w:val="008B210D"/>
    <w:rsid w:val="008B5573"/>
    <w:rsid w:val="008B78DD"/>
    <w:rsid w:val="008C26B3"/>
    <w:rsid w:val="008C2F9B"/>
    <w:rsid w:val="008C668E"/>
    <w:rsid w:val="008D161C"/>
    <w:rsid w:val="008D2421"/>
    <w:rsid w:val="008D5DE7"/>
    <w:rsid w:val="008E3273"/>
    <w:rsid w:val="008E44A4"/>
    <w:rsid w:val="008F0572"/>
    <w:rsid w:val="008F08C2"/>
    <w:rsid w:val="008F269E"/>
    <w:rsid w:val="008F656A"/>
    <w:rsid w:val="00901514"/>
    <w:rsid w:val="0090198B"/>
    <w:rsid w:val="00902116"/>
    <w:rsid w:val="0090782D"/>
    <w:rsid w:val="009141AA"/>
    <w:rsid w:val="009146FD"/>
    <w:rsid w:val="00916FAB"/>
    <w:rsid w:val="00917038"/>
    <w:rsid w:val="009202AA"/>
    <w:rsid w:val="009205FD"/>
    <w:rsid w:val="00922C87"/>
    <w:rsid w:val="00923C3A"/>
    <w:rsid w:val="0092432B"/>
    <w:rsid w:val="00934F08"/>
    <w:rsid w:val="00936AEC"/>
    <w:rsid w:val="00937000"/>
    <w:rsid w:val="00937612"/>
    <w:rsid w:val="009410BE"/>
    <w:rsid w:val="009439D1"/>
    <w:rsid w:val="00951A43"/>
    <w:rsid w:val="00951B66"/>
    <w:rsid w:val="009564DA"/>
    <w:rsid w:val="0095723C"/>
    <w:rsid w:val="00961304"/>
    <w:rsid w:val="00962859"/>
    <w:rsid w:val="00966764"/>
    <w:rsid w:val="00970567"/>
    <w:rsid w:val="009712BF"/>
    <w:rsid w:val="00973332"/>
    <w:rsid w:val="00975062"/>
    <w:rsid w:val="00975ABC"/>
    <w:rsid w:val="009763E2"/>
    <w:rsid w:val="009773DA"/>
    <w:rsid w:val="00981C7C"/>
    <w:rsid w:val="00981DDD"/>
    <w:rsid w:val="00983573"/>
    <w:rsid w:val="009835C1"/>
    <w:rsid w:val="00985710"/>
    <w:rsid w:val="00986922"/>
    <w:rsid w:val="00987247"/>
    <w:rsid w:val="00990A59"/>
    <w:rsid w:val="00990F25"/>
    <w:rsid w:val="00991F4F"/>
    <w:rsid w:val="009925B3"/>
    <w:rsid w:val="00993C70"/>
    <w:rsid w:val="0099487A"/>
    <w:rsid w:val="00995D5B"/>
    <w:rsid w:val="009A2A16"/>
    <w:rsid w:val="009A6D2B"/>
    <w:rsid w:val="009B1BDC"/>
    <w:rsid w:val="009B342D"/>
    <w:rsid w:val="009B423B"/>
    <w:rsid w:val="009B494C"/>
    <w:rsid w:val="009B6EB6"/>
    <w:rsid w:val="009C177C"/>
    <w:rsid w:val="009C2213"/>
    <w:rsid w:val="009C47CF"/>
    <w:rsid w:val="009C4D79"/>
    <w:rsid w:val="009C5A41"/>
    <w:rsid w:val="009C71F7"/>
    <w:rsid w:val="009C7B0F"/>
    <w:rsid w:val="009D2373"/>
    <w:rsid w:val="009D313E"/>
    <w:rsid w:val="009D31A2"/>
    <w:rsid w:val="009D50F6"/>
    <w:rsid w:val="009D5FCA"/>
    <w:rsid w:val="009D7266"/>
    <w:rsid w:val="009D7A89"/>
    <w:rsid w:val="009E16B5"/>
    <w:rsid w:val="009E2662"/>
    <w:rsid w:val="009E3A7C"/>
    <w:rsid w:val="009E424D"/>
    <w:rsid w:val="009E47DE"/>
    <w:rsid w:val="009E5143"/>
    <w:rsid w:val="009E7882"/>
    <w:rsid w:val="009F0397"/>
    <w:rsid w:val="009F08E6"/>
    <w:rsid w:val="009F15B1"/>
    <w:rsid w:val="009F1806"/>
    <w:rsid w:val="009F29FA"/>
    <w:rsid w:val="009F2FE9"/>
    <w:rsid w:val="009F3F1B"/>
    <w:rsid w:val="009F4072"/>
    <w:rsid w:val="009F7ED1"/>
    <w:rsid w:val="00A01113"/>
    <w:rsid w:val="00A01894"/>
    <w:rsid w:val="00A02329"/>
    <w:rsid w:val="00A05C96"/>
    <w:rsid w:val="00A06CED"/>
    <w:rsid w:val="00A06FF6"/>
    <w:rsid w:val="00A07854"/>
    <w:rsid w:val="00A11A3E"/>
    <w:rsid w:val="00A12F6A"/>
    <w:rsid w:val="00A152E7"/>
    <w:rsid w:val="00A1725D"/>
    <w:rsid w:val="00A20BA8"/>
    <w:rsid w:val="00A23E8C"/>
    <w:rsid w:val="00A240BE"/>
    <w:rsid w:val="00A25E94"/>
    <w:rsid w:val="00A31279"/>
    <w:rsid w:val="00A31893"/>
    <w:rsid w:val="00A33217"/>
    <w:rsid w:val="00A33563"/>
    <w:rsid w:val="00A349DA"/>
    <w:rsid w:val="00A4134A"/>
    <w:rsid w:val="00A41E10"/>
    <w:rsid w:val="00A42D6D"/>
    <w:rsid w:val="00A45751"/>
    <w:rsid w:val="00A45862"/>
    <w:rsid w:val="00A45DC4"/>
    <w:rsid w:val="00A45FF1"/>
    <w:rsid w:val="00A50EFB"/>
    <w:rsid w:val="00A53B07"/>
    <w:rsid w:val="00A55676"/>
    <w:rsid w:val="00A561F0"/>
    <w:rsid w:val="00A57883"/>
    <w:rsid w:val="00A600E0"/>
    <w:rsid w:val="00A628F1"/>
    <w:rsid w:val="00A6440F"/>
    <w:rsid w:val="00A70F8D"/>
    <w:rsid w:val="00A738ED"/>
    <w:rsid w:val="00A764F1"/>
    <w:rsid w:val="00A76DD8"/>
    <w:rsid w:val="00A8025C"/>
    <w:rsid w:val="00A81D46"/>
    <w:rsid w:val="00A84F96"/>
    <w:rsid w:val="00A853CA"/>
    <w:rsid w:val="00A86013"/>
    <w:rsid w:val="00A86692"/>
    <w:rsid w:val="00A90E6B"/>
    <w:rsid w:val="00A926F7"/>
    <w:rsid w:val="00A93CA7"/>
    <w:rsid w:val="00A95FD1"/>
    <w:rsid w:val="00A961D9"/>
    <w:rsid w:val="00AA06B4"/>
    <w:rsid w:val="00AA2BBA"/>
    <w:rsid w:val="00AA3816"/>
    <w:rsid w:val="00AA39A1"/>
    <w:rsid w:val="00AA57BC"/>
    <w:rsid w:val="00AA598B"/>
    <w:rsid w:val="00AA75A4"/>
    <w:rsid w:val="00AB19E3"/>
    <w:rsid w:val="00AB2ED8"/>
    <w:rsid w:val="00AB501A"/>
    <w:rsid w:val="00AC17CD"/>
    <w:rsid w:val="00AC28FD"/>
    <w:rsid w:val="00AC352E"/>
    <w:rsid w:val="00AC5DC6"/>
    <w:rsid w:val="00AD03BF"/>
    <w:rsid w:val="00AD1709"/>
    <w:rsid w:val="00AD4C2B"/>
    <w:rsid w:val="00AE6BA3"/>
    <w:rsid w:val="00AF02B2"/>
    <w:rsid w:val="00B0015C"/>
    <w:rsid w:val="00B00833"/>
    <w:rsid w:val="00B01E4A"/>
    <w:rsid w:val="00B0212E"/>
    <w:rsid w:val="00B02135"/>
    <w:rsid w:val="00B03B52"/>
    <w:rsid w:val="00B04614"/>
    <w:rsid w:val="00B0763D"/>
    <w:rsid w:val="00B11F15"/>
    <w:rsid w:val="00B16A86"/>
    <w:rsid w:val="00B16E94"/>
    <w:rsid w:val="00B17736"/>
    <w:rsid w:val="00B17D7D"/>
    <w:rsid w:val="00B223B3"/>
    <w:rsid w:val="00B22C56"/>
    <w:rsid w:val="00B2380E"/>
    <w:rsid w:val="00B24CE5"/>
    <w:rsid w:val="00B31245"/>
    <w:rsid w:val="00B3272F"/>
    <w:rsid w:val="00B3552B"/>
    <w:rsid w:val="00B35A9D"/>
    <w:rsid w:val="00B36DFC"/>
    <w:rsid w:val="00B37106"/>
    <w:rsid w:val="00B37428"/>
    <w:rsid w:val="00B41EE7"/>
    <w:rsid w:val="00B4683F"/>
    <w:rsid w:val="00B473AC"/>
    <w:rsid w:val="00B478FB"/>
    <w:rsid w:val="00B47F1D"/>
    <w:rsid w:val="00B5022D"/>
    <w:rsid w:val="00B50BEE"/>
    <w:rsid w:val="00B53428"/>
    <w:rsid w:val="00B53CBB"/>
    <w:rsid w:val="00B53E22"/>
    <w:rsid w:val="00B57BBB"/>
    <w:rsid w:val="00B607A4"/>
    <w:rsid w:val="00B6204D"/>
    <w:rsid w:val="00B66368"/>
    <w:rsid w:val="00B66DFD"/>
    <w:rsid w:val="00B71555"/>
    <w:rsid w:val="00B71BEC"/>
    <w:rsid w:val="00B726B4"/>
    <w:rsid w:val="00B73D99"/>
    <w:rsid w:val="00B747D5"/>
    <w:rsid w:val="00B74C5F"/>
    <w:rsid w:val="00B76292"/>
    <w:rsid w:val="00B76620"/>
    <w:rsid w:val="00B767A3"/>
    <w:rsid w:val="00B77FDA"/>
    <w:rsid w:val="00B804AE"/>
    <w:rsid w:val="00B823FD"/>
    <w:rsid w:val="00B838F0"/>
    <w:rsid w:val="00B8658B"/>
    <w:rsid w:val="00B9096B"/>
    <w:rsid w:val="00B90F3F"/>
    <w:rsid w:val="00B93BA8"/>
    <w:rsid w:val="00B941CB"/>
    <w:rsid w:val="00B95393"/>
    <w:rsid w:val="00B97910"/>
    <w:rsid w:val="00B97F4D"/>
    <w:rsid w:val="00BA0600"/>
    <w:rsid w:val="00BA066D"/>
    <w:rsid w:val="00BA12D1"/>
    <w:rsid w:val="00BA1791"/>
    <w:rsid w:val="00BA1ED8"/>
    <w:rsid w:val="00BA25E4"/>
    <w:rsid w:val="00BA5631"/>
    <w:rsid w:val="00BA75F5"/>
    <w:rsid w:val="00BB014D"/>
    <w:rsid w:val="00BB0E64"/>
    <w:rsid w:val="00BB0EDE"/>
    <w:rsid w:val="00BB3851"/>
    <w:rsid w:val="00BB3E8D"/>
    <w:rsid w:val="00BB48B1"/>
    <w:rsid w:val="00BB4E7E"/>
    <w:rsid w:val="00BB537C"/>
    <w:rsid w:val="00BC18F0"/>
    <w:rsid w:val="00BC3FD9"/>
    <w:rsid w:val="00BC4E0A"/>
    <w:rsid w:val="00BD12C0"/>
    <w:rsid w:val="00BD468D"/>
    <w:rsid w:val="00BD7077"/>
    <w:rsid w:val="00BE163C"/>
    <w:rsid w:val="00BE2881"/>
    <w:rsid w:val="00BE3336"/>
    <w:rsid w:val="00BE7A15"/>
    <w:rsid w:val="00BE7C49"/>
    <w:rsid w:val="00BF205E"/>
    <w:rsid w:val="00BF461B"/>
    <w:rsid w:val="00BF5112"/>
    <w:rsid w:val="00C017C6"/>
    <w:rsid w:val="00C03A07"/>
    <w:rsid w:val="00C04A0B"/>
    <w:rsid w:val="00C07D66"/>
    <w:rsid w:val="00C10D0E"/>
    <w:rsid w:val="00C14250"/>
    <w:rsid w:val="00C15E99"/>
    <w:rsid w:val="00C20198"/>
    <w:rsid w:val="00C22D24"/>
    <w:rsid w:val="00C249AF"/>
    <w:rsid w:val="00C27794"/>
    <w:rsid w:val="00C27D8E"/>
    <w:rsid w:val="00C31124"/>
    <w:rsid w:val="00C31BA4"/>
    <w:rsid w:val="00C33E47"/>
    <w:rsid w:val="00C34D40"/>
    <w:rsid w:val="00C35612"/>
    <w:rsid w:val="00C35F0E"/>
    <w:rsid w:val="00C37CC1"/>
    <w:rsid w:val="00C438C8"/>
    <w:rsid w:val="00C43C7D"/>
    <w:rsid w:val="00C47111"/>
    <w:rsid w:val="00C471CC"/>
    <w:rsid w:val="00C554D2"/>
    <w:rsid w:val="00C557B9"/>
    <w:rsid w:val="00C55ADB"/>
    <w:rsid w:val="00C56CB1"/>
    <w:rsid w:val="00C57BB8"/>
    <w:rsid w:val="00C6690C"/>
    <w:rsid w:val="00C70AC9"/>
    <w:rsid w:val="00C72F89"/>
    <w:rsid w:val="00C72FB2"/>
    <w:rsid w:val="00C7493D"/>
    <w:rsid w:val="00C76B2E"/>
    <w:rsid w:val="00C76C52"/>
    <w:rsid w:val="00C8014C"/>
    <w:rsid w:val="00C82823"/>
    <w:rsid w:val="00C837A7"/>
    <w:rsid w:val="00C83A01"/>
    <w:rsid w:val="00C902CA"/>
    <w:rsid w:val="00C92CB0"/>
    <w:rsid w:val="00C942BC"/>
    <w:rsid w:val="00C945B6"/>
    <w:rsid w:val="00C94993"/>
    <w:rsid w:val="00CA0546"/>
    <w:rsid w:val="00CA1E5D"/>
    <w:rsid w:val="00CA3661"/>
    <w:rsid w:val="00CA418F"/>
    <w:rsid w:val="00CB7C00"/>
    <w:rsid w:val="00CC00EF"/>
    <w:rsid w:val="00CC03E9"/>
    <w:rsid w:val="00CC08DE"/>
    <w:rsid w:val="00CC1322"/>
    <w:rsid w:val="00CC35A2"/>
    <w:rsid w:val="00CD0DC5"/>
    <w:rsid w:val="00CD29C7"/>
    <w:rsid w:val="00CD372B"/>
    <w:rsid w:val="00CD3E9B"/>
    <w:rsid w:val="00CD4C93"/>
    <w:rsid w:val="00CD50EE"/>
    <w:rsid w:val="00CD5543"/>
    <w:rsid w:val="00CD71DB"/>
    <w:rsid w:val="00CD72D4"/>
    <w:rsid w:val="00CE110B"/>
    <w:rsid w:val="00CE27CC"/>
    <w:rsid w:val="00CE3B60"/>
    <w:rsid w:val="00CE4620"/>
    <w:rsid w:val="00CE6FA3"/>
    <w:rsid w:val="00CE7790"/>
    <w:rsid w:val="00CF2253"/>
    <w:rsid w:val="00CF4647"/>
    <w:rsid w:val="00CF5EA4"/>
    <w:rsid w:val="00D00F3B"/>
    <w:rsid w:val="00D02544"/>
    <w:rsid w:val="00D025E3"/>
    <w:rsid w:val="00D0412A"/>
    <w:rsid w:val="00D0512A"/>
    <w:rsid w:val="00D05D31"/>
    <w:rsid w:val="00D0642C"/>
    <w:rsid w:val="00D108DB"/>
    <w:rsid w:val="00D14E1F"/>
    <w:rsid w:val="00D164B6"/>
    <w:rsid w:val="00D216DE"/>
    <w:rsid w:val="00D21E8E"/>
    <w:rsid w:val="00D23B94"/>
    <w:rsid w:val="00D245D8"/>
    <w:rsid w:val="00D2752F"/>
    <w:rsid w:val="00D30EB9"/>
    <w:rsid w:val="00D30F4D"/>
    <w:rsid w:val="00D32E1B"/>
    <w:rsid w:val="00D4111D"/>
    <w:rsid w:val="00D4501E"/>
    <w:rsid w:val="00D45305"/>
    <w:rsid w:val="00D45941"/>
    <w:rsid w:val="00D5045C"/>
    <w:rsid w:val="00D50E19"/>
    <w:rsid w:val="00D55EF3"/>
    <w:rsid w:val="00D5775F"/>
    <w:rsid w:val="00D6327F"/>
    <w:rsid w:val="00D65726"/>
    <w:rsid w:val="00D65EC8"/>
    <w:rsid w:val="00D747AA"/>
    <w:rsid w:val="00D74D05"/>
    <w:rsid w:val="00D774BB"/>
    <w:rsid w:val="00D81A33"/>
    <w:rsid w:val="00D858B0"/>
    <w:rsid w:val="00D87F4C"/>
    <w:rsid w:val="00D90478"/>
    <w:rsid w:val="00D91AD5"/>
    <w:rsid w:val="00D92857"/>
    <w:rsid w:val="00D93C97"/>
    <w:rsid w:val="00D95B7D"/>
    <w:rsid w:val="00D96ACD"/>
    <w:rsid w:val="00DA1BAE"/>
    <w:rsid w:val="00DA5004"/>
    <w:rsid w:val="00DA5CEE"/>
    <w:rsid w:val="00DA79E3"/>
    <w:rsid w:val="00DB0BE4"/>
    <w:rsid w:val="00DB6E46"/>
    <w:rsid w:val="00DC2170"/>
    <w:rsid w:val="00DC21EC"/>
    <w:rsid w:val="00DC2E2A"/>
    <w:rsid w:val="00DC397A"/>
    <w:rsid w:val="00DC51B6"/>
    <w:rsid w:val="00DC522A"/>
    <w:rsid w:val="00DC55C8"/>
    <w:rsid w:val="00DD2023"/>
    <w:rsid w:val="00DD3AD6"/>
    <w:rsid w:val="00DD4CAB"/>
    <w:rsid w:val="00DD668F"/>
    <w:rsid w:val="00DD68B5"/>
    <w:rsid w:val="00DD6969"/>
    <w:rsid w:val="00DD7216"/>
    <w:rsid w:val="00DD7C99"/>
    <w:rsid w:val="00DE16A2"/>
    <w:rsid w:val="00DE5099"/>
    <w:rsid w:val="00DE5C42"/>
    <w:rsid w:val="00DE6E8E"/>
    <w:rsid w:val="00DF01A9"/>
    <w:rsid w:val="00DF3019"/>
    <w:rsid w:val="00DF4493"/>
    <w:rsid w:val="00DF5566"/>
    <w:rsid w:val="00DF6879"/>
    <w:rsid w:val="00DF7A7A"/>
    <w:rsid w:val="00E03B60"/>
    <w:rsid w:val="00E04D3A"/>
    <w:rsid w:val="00E05DE4"/>
    <w:rsid w:val="00E06755"/>
    <w:rsid w:val="00E1145D"/>
    <w:rsid w:val="00E1381B"/>
    <w:rsid w:val="00E16569"/>
    <w:rsid w:val="00E174E2"/>
    <w:rsid w:val="00E20989"/>
    <w:rsid w:val="00E220FA"/>
    <w:rsid w:val="00E24B88"/>
    <w:rsid w:val="00E30367"/>
    <w:rsid w:val="00E3062C"/>
    <w:rsid w:val="00E31E27"/>
    <w:rsid w:val="00E33DC8"/>
    <w:rsid w:val="00E3437D"/>
    <w:rsid w:val="00E36690"/>
    <w:rsid w:val="00E36BCD"/>
    <w:rsid w:val="00E42359"/>
    <w:rsid w:val="00E42C05"/>
    <w:rsid w:val="00E44743"/>
    <w:rsid w:val="00E46617"/>
    <w:rsid w:val="00E500DE"/>
    <w:rsid w:val="00E51968"/>
    <w:rsid w:val="00E52166"/>
    <w:rsid w:val="00E53644"/>
    <w:rsid w:val="00E5687F"/>
    <w:rsid w:val="00E61AB8"/>
    <w:rsid w:val="00E6339F"/>
    <w:rsid w:val="00E640D1"/>
    <w:rsid w:val="00E67620"/>
    <w:rsid w:val="00E71581"/>
    <w:rsid w:val="00E7179A"/>
    <w:rsid w:val="00E72371"/>
    <w:rsid w:val="00E767B6"/>
    <w:rsid w:val="00E77E7B"/>
    <w:rsid w:val="00E827FB"/>
    <w:rsid w:val="00E82B45"/>
    <w:rsid w:val="00E84441"/>
    <w:rsid w:val="00E84515"/>
    <w:rsid w:val="00E84DC6"/>
    <w:rsid w:val="00E92068"/>
    <w:rsid w:val="00E943C9"/>
    <w:rsid w:val="00E95121"/>
    <w:rsid w:val="00E96715"/>
    <w:rsid w:val="00EA0493"/>
    <w:rsid w:val="00EA3590"/>
    <w:rsid w:val="00EA6D9B"/>
    <w:rsid w:val="00EA6EB2"/>
    <w:rsid w:val="00EB2042"/>
    <w:rsid w:val="00EB29A7"/>
    <w:rsid w:val="00EB2E91"/>
    <w:rsid w:val="00EB3BE3"/>
    <w:rsid w:val="00EB45E8"/>
    <w:rsid w:val="00EB557B"/>
    <w:rsid w:val="00EB6679"/>
    <w:rsid w:val="00EB6BC8"/>
    <w:rsid w:val="00EB77B6"/>
    <w:rsid w:val="00EC06F8"/>
    <w:rsid w:val="00EC08AF"/>
    <w:rsid w:val="00EC0F37"/>
    <w:rsid w:val="00EC1EAB"/>
    <w:rsid w:val="00EC48AC"/>
    <w:rsid w:val="00EC724B"/>
    <w:rsid w:val="00EC7427"/>
    <w:rsid w:val="00ED192D"/>
    <w:rsid w:val="00ED2603"/>
    <w:rsid w:val="00ED7075"/>
    <w:rsid w:val="00EE3DA7"/>
    <w:rsid w:val="00EE4A9D"/>
    <w:rsid w:val="00EE5F93"/>
    <w:rsid w:val="00EE7F1C"/>
    <w:rsid w:val="00EF0286"/>
    <w:rsid w:val="00EF499F"/>
    <w:rsid w:val="00F007D0"/>
    <w:rsid w:val="00F00953"/>
    <w:rsid w:val="00F10167"/>
    <w:rsid w:val="00F115B6"/>
    <w:rsid w:val="00F12A44"/>
    <w:rsid w:val="00F12FBF"/>
    <w:rsid w:val="00F138D6"/>
    <w:rsid w:val="00F14F8E"/>
    <w:rsid w:val="00F15941"/>
    <w:rsid w:val="00F17408"/>
    <w:rsid w:val="00F2422D"/>
    <w:rsid w:val="00F27835"/>
    <w:rsid w:val="00F334B9"/>
    <w:rsid w:val="00F344D0"/>
    <w:rsid w:val="00F4058F"/>
    <w:rsid w:val="00F410DD"/>
    <w:rsid w:val="00F43063"/>
    <w:rsid w:val="00F4726C"/>
    <w:rsid w:val="00F47B3A"/>
    <w:rsid w:val="00F505A4"/>
    <w:rsid w:val="00F50ACF"/>
    <w:rsid w:val="00F51F6D"/>
    <w:rsid w:val="00F5434B"/>
    <w:rsid w:val="00F54EE0"/>
    <w:rsid w:val="00F5651E"/>
    <w:rsid w:val="00F579BB"/>
    <w:rsid w:val="00F61E83"/>
    <w:rsid w:val="00F6496B"/>
    <w:rsid w:val="00F64FE0"/>
    <w:rsid w:val="00F707A2"/>
    <w:rsid w:val="00F70AE0"/>
    <w:rsid w:val="00F70B70"/>
    <w:rsid w:val="00F71C4E"/>
    <w:rsid w:val="00F73106"/>
    <w:rsid w:val="00F752B8"/>
    <w:rsid w:val="00F753CB"/>
    <w:rsid w:val="00F755FE"/>
    <w:rsid w:val="00F812F2"/>
    <w:rsid w:val="00F81D70"/>
    <w:rsid w:val="00F821B7"/>
    <w:rsid w:val="00F83FAB"/>
    <w:rsid w:val="00F9070E"/>
    <w:rsid w:val="00F90EBE"/>
    <w:rsid w:val="00F95E39"/>
    <w:rsid w:val="00F96BCE"/>
    <w:rsid w:val="00FA1083"/>
    <w:rsid w:val="00FA279D"/>
    <w:rsid w:val="00FA4AB7"/>
    <w:rsid w:val="00FA7EAA"/>
    <w:rsid w:val="00FB0251"/>
    <w:rsid w:val="00FB5561"/>
    <w:rsid w:val="00FB56F2"/>
    <w:rsid w:val="00FC01A7"/>
    <w:rsid w:val="00FC0C1C"/>
    <w:rsid w:val="00FC25AD"/>
    <w:rsid w:val="00FC71EC"/>
    <w:rsid w:val="00FD0520"/>
    <w:rsid w:val="00FD0E8D"/>
    <w:rsid w:val="00FD26EF"/>
    <w:rsid w:val="00FD2B6D"/>
    <w:rsid w:val="00FD4271"/>
    <w:rsid w:val="00FD6749"/>
    <w:rsid w:val="00FE3FEE"/>
    <w:rsid w:val="00FE557F"/>
    <w:rsid w:val="00FE76C0"/>
    <w:rsid w:val="00FF5D11"/>
    <w:rsid w:val="00FF75D4"/>
    <w:rsid w:val="01542560"/>
    <w:rsid w:val="04739D94"/>
    <w:rsid w:val="04E91ADF"/>
    <w:rsid w:val="06EA4D38"/>
    <w:rsid w:val="096CAC5C"/>
    <w:rsid w:val="0FF4E9F9"/>
    <w:rsid w:val="10648E0A"/>
    <w:rsid w:val="1891146B"/>
    <w:rsid w:val="1E4B98E1"/>
    <w:rsid w:val="2477B011"/>
    <w:rsid w:val="25B99561"/>
    <w:rsid w:val="2B2A221C"/>
    <w:rsid w:val="359CC57E"/>
    <w:rsid w:val="3635EE88"/>
    <w:rsid w:val="38164DF3"/>
    <w:rsid w:val="6249CBD6"/>
    <w:rsid w:val="6A77E5CD"/>
    <w:rsid w:val="77AC04E3"/>
    <w:rsid w:val="7DF622D8"/>
    <w:rsid w:val="7FD6606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BBF003"/>
  <w15:docId w15:val="{748A209C-1018-426A-8A89-DD34A21BF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71AF"/>
    <w:pPr>
      <w:spacing w:before="120" w:after="120"/>
    </w:pPr>
    <w:rPr>
      <w:rFonts w:ascii="Arial" w:hAnsi="Arial"/>
      <w:sz w:val="22"/>
      <w:lang w:eastAsia="en-US"/>
    </w:rPr>
  </w:style>
  <w:style w:type="paragraph" w:styleId="Heading1">
    <w:name w:val="heading 1"/>
    <w:basedOn w:val="Normal"/>
    <w:next w:val="head1text"/>
    <w:uiPriority w:val="9"/>
    <w:qFormat/>
    <w:rsid w:val="00566E13"/>
    <w:pPr>
      <w:keepNext/>
      <w:numPr>
        <w:numId w:val="1"/>
      </w:numPr>
      <w:shd w:val="pct12" w:color="auto" w:fill="auto"/>
      <w:tabs>
        <w:tab w:val="clear" w:pos="1437"/>
        <w:tab w:val="left" w:pos="1361"/>
      </w:tabs>
      <w:spacing w:before="220" w:after="220" w:line="280" w:lineRule="atLeast"/>
      <w:outlineLvl w:val="0"/>
    </w:pPr>
    <w:rPr>
      <w:b/>
      <w:sz w:val="24"/>
    </w:rPr>
  </w:style>
  <w:style w:type="paragraph" w:styleId="Heading2">
    <w:name w:val="heading 2"/>
    <w:aliases w:val="body,h2,test,Attribute Heading 2,H2,Section,h2.H2,1.1,UNDERRUBRIK 1-2,Para2,h21,h22,h2 main heading,2m,h 2,B Sub/Bold,B Sub/Bold1,B Sub/Bold2,B Sub/Bold11,h2 main heading1,h2 main heading2,B Sub/Bold3,B Sub/Bold12,h2 main heading3,B Sub/Bold4"/>
    <w:basedOn w:val="Normal"/>
    <w:next w:val="head2text"/>
    <w:uiPriority w:val="9"/>
    <w:qFormat/>
    <w:rsid w:val="00566E13"/>
    <w:pPr>
      <w:keepNext/>
      <w:numPr>
        <w:ilvl w:val="1"/>
        <w:numId w:val="2"/>
      </w:numPr>
      <w:spacing w:before="220" w:after="220" w:line="280" w:lineRule="atLeast"/>
      <w:outlineLvl w:val="1"/>
    </w:pPr>
    <w:rPr>
      <w:b/>
    </w:rPr>
  </w:style>
  <w:style w:type="paragraph" w:styleId="Heading3">
    <w:name w:val="heading 3"/>
    <w:aliases w:val="nem3,H3,H31,h3,h3 sub heading,C Sub-Sub/Italic,Head 3,Head 31,Head 32,C Sub-Sub/Italic1,3,Sub2Para,(Alt+3),3m,h31,h32,Para3,h:3,sub-sub-para,Table Attribute Heading,H32,H33,H311,Subhead B,Heading C,H34,H312,H321,H331,H3111,H35,H313,H322,H332,a"/>
    <w:basedOn w:val="Normal"/>
    <w:next w:val="head3text"/>
    <w:uiPriority w:val="9"/>
    <w:qFormat/>
    <w:rsid w:val="00566E13"/>
    <w:pPr>
      <w:keepNext/>
      <w:numPr>
        <w:ilvl w:val="2"/>
        <w:numId w:val="2"/>
      </w:numPr>
      <w:spacing w:before="240"/>
      <w:outlineLvl w:val="2"/>
    </w:pPr>
    <w:rPr>
      <w:b/>
    </w:rPr>
  </w:style>
  <w:style w:type="paragraph" w:styleId="Heading4">
    <w:name w:val="heading 4"/>
    <w:aliases w:val="nem4,h4 sub sub heading,h4,h41,h42,Para4,H4,(Alt+4),H41,(Alt+4)1,H42,(Alt+4)2,H43,(Alt+4)3,H44,(Alt+4)4,H45,(Alt+4)5,H411,(Alt+4)11,H421,(Alt+4)21,H431,(Alt+4)31,H46,(Alt+4)6,H412,(Alt+4)12,H422,(Alt+4)22,H432,(Alt+4)32,H47,(Alt+4)7,H48,(Alt+4"/>
    <w:basedOn w:val="Normal"/>
    <w:next w:val="Normal"/>
    <w:qFormat/>
    <w:rsid w:val="00566E13"/>
    <w:pPr>
      <w:keepNext/>
      <w:numPr>
        <w:ilvl w:val="3"/>
        <w:numId w:val="2"/>
      </w:numPr>
      <w:spacing w:before="240" w:after="60"/>
      <w:jc w:val="both"/>
      <w:outlineLvl w:val="3"/>
    </w:pPr>
    <w:rPr>
      <w:b/>
      <w:sz w:val="24"/>
    </w:rPr>
  </w:style>
  <w:style w:type="paragraph" w:styleId="Heading5">
    <w:name w:val="heading 5"/>
    <w:basedOn w:val="Normal"/>
    <w:next w:val="Normal"/>
    <w:qFormat/>
    <w:rsid w:val="00566E13"/>
    <w:pPr>
      <w:numPr>
        <w:ilvl w:val="4"/>
        <w:numId w:val="2"/>
      </w:numPr>
      <w:spacing w:before="240" w:after="60"/>
      <w:jc w:val="both"/>
      <w:outlineLvl w:val="4"/>
    </w:pPr>
  </w:style>
  <w:style w:type="paragraph" w:styleId="Heading6">
    <w:name w:val="heading 6"/>
    <w:aliases w:val="Heading 6(unused),Legal Level 1.,heading6,heading61,heading62,h6,Level 6,Heading 6a"/>
    <w:basedOn w:val="Normal"/>
    <w:next w:val="Normal"/>
    <w:qFormat/>
    <w:rsid w:val="00566E13"/>
    <w:pPr>
      <w:numPr>
        <w:ilvl w:val="5"/>
        <w:numId w:val="2"/>
      </w:numPr>
      <w:spacing w:before="240" w:after="60"/>
      <w:jc w:val="both"/>
      <w:outlineLvl w:val="5"/>
    </w:pPr>
    <w:rPr>
      <w:i/>
    </w:rPr>
  </w:style>
  <w:style w:type="paragraph" w:styleId="Heading7">
    <w:name w:val="heading 7"/>
    <w:aliases w:val="Heading 7(unused),Legal Level 1.1.,DTSÜberschrift 7,h7,Heading 7a"/>
    <w:basedOn w:val="Normal"/>
    <w:next w:val="Normal"/>
    <w:qFormat/>
    <w:rsid w:val="00566E13"/>
    <w:pPr>
      <w:numPr>
        <w:ilvl w:val="6"/>
        <w:numId w:val="2"/>
      </w:numPr>
      <w:spacing w:before="240" w:after="60"/>
      <w:jc w:val="both"/>
      <w:outlineLvl w:val="6"/>
    </w:pPr>
  </w:style>
  <w:style w:type="paragraph" w:styleId="Heading8">
    <w:name w:val="heading 8"/>
    <w:aliases w:val="Heading 8(unused),Legal Level 1.1.1.,h8,Heading 8a,Bullet 1"/>
    <w:basedOn w:val="Normal"/>
    <w:next w:val="Normal"/>
    <w:qFormat/>
    <w:rsid w:val="00566E13"/>
    <w:pPr>
      <w:numPr>
        <w:ilvl w:val="7"/>
        <w:numId w:val="2"/>
      </w:numPr>
      <w:spacing w:before="240" w:after="60"/>
      <w:jc w:val="both"/>
      <w:outlineLvl w:val="7"/>
    </w:pPr>
    <w:rPr>
      <w:i/>
    </w:rPr>
  </w:style>
  <w:style w:type="paragraph" w:styleId="Heading9">
    <w:name w:val="heading 9"/>
    <w:aliases w:val="Legal Level 1.1.1.1.,Heading 9a,Bullet 2"/>
    <w:basedOn w:val="Normal"/>
    <w:next w:val="Normal"/>
    <w:qFormat/>
    <w:rsid w:val="00566E13"/>
    <w:pPr>
      <w:numPr>
        <w:ilvl w:val="8"/>
        <w:numId w:val="2"/>
      </w:numPr>
      <w:spacing w:before="240" w:after="60"/>
      <w:jc w:val="both"/>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1text">
    <w:name w:val="head 1 text"/>
    <w:basedOn w:val="Normal"/>
    <w:rsid w:val="00566E13"/>
    <w:pPr>
      <w:spacing w:after="220" w:line="220" w:lineRule="atLeast"/>
      <w:ind w:left="1077"/>
    </w:pPr>
  </w:style>
  <w:style w:type="paragraph" w:customStyle="1" w:styleId="head2text">
    <w:name w:val="head 2 text"/>
    <w:basedOn w:val="Normal"/>
    <w:rsid w:val="00566E13"/>
    <w:pPr>
      <w:spacing w:after="220" w:line="220" w:lineRule="atLeast"/>
      <w:ind w:left="1418"/>
    </w:pPr>
  </w:style>
  <w:style w:type="paragraph" w:customStyle="1" w:styleId="head3text">
    <w:name w:val="head 3 text"/>
    <w:basedOn w:val="Normal"/>
    <w:rsid w:val="00566E13"/>
    <w:pPr>
      <w:spacing w:after="220" w:line="220" w:lineRule="atLeast"/>
      <w:ind w:left="1871"/>
    </w:pPr>
  </w:style>
  <w:style w:type="paragraph" w:styleId="Header">
    <w:name w:val="header"/>
    <w:basedOn w:val="Normal"/>
    <w:rsid w:val="00566E13"/>
    <w:pPr>
      <w:tabs>
        <w:tab w:val="center" w:pos="4153"/>
        <w:tab w:val="right" w:pos="8306"/>
      </w:tabs>
    </w:pPr>
  </w:style>
  <w:style w:type="paragraph" w:styleId="MessageHeader">
    <w:name w:val="Message Header"/>
    <w:basedOn w:val="Normal"/>
    <w:rsid w:val="00566E13"/>
    <w:pPr>
      <w:keepLines/>
      <w:tabs>
        <w:tab w:val="left" w:pos="3600"/>
        <w:tab w:val="left" w:pos="4680"/>
      </w:tabs>
      <w:ind w:left="1080" w:right="2160" w:hanging="1080"/>
    </w:pPr>
    <w:rPr>
      <w:lang w:val="en-US"/>
    </w:rPr>
  </w:style>
  <w:style w:type="paragraph" w:customStyle="1" w:styleId="TitleCover">
    <w:name w:val="Title Cover"/>
    <w:basedOn w:val="Normal"/>
    <w:rsid w:val="00566E13"/>
    <w:pPr>
      <w:spacing w:before="1800" w:after="400" w:line="240" w:lineRule="atLeast"/>
      <w:ind w:left="1077"/>
    </w:pPr>
    <w:rPr>
      <w:sz w:val="72"/>
    </w:rPr>
  </w:style>
  <w:style w:type="paragraph" w:styleId="Footer">
    <w:name w:val="footer"/>
    <w:basedOn w:val="Normal"/>
    <w:rsid w:val="00566E13"/>
    <w:pPr>
      <w:pBdr>
        <w:top w:val="single" w:sz="6" w:space="1" w:color="auto"/>
      </w:pBdr>
      <w:tabs>
        <w:tab w:val="center" w:pos="4820"/>
        <w:tab w:val="right" w:pos="8100"/>
      </w:tabs>
      <w:ind w:right="-151"/>
      <w:jc w:val="both"/>
    </w:pPr>
    <w:rPr>
      <w:sz w:val="20"/>
    </w:rPr>
  </w:style>
  <w:style w:type="paragraph" w:styleId="TOC1">
    <w:name w:val="toc 1"/>
    <w:basedOn w:val="Normal"/>
    <w:next w:val="Normal"/>
    <w:uiPriority w:val="39"/>
    <w:rsid w:val="00566E13"/>
    <w:pPr>
      <w:tabs>
        <w:tab w:val="right" w:leader="dot" w:pos="9071"/>
      </w:tabs>
    </w:pPr>
    <w:rPr>
      <w:b/>
      <w:caps/>
    </w:rPr>
  </w:style>
  <w:style w:type="paragraph" w:styleId="TOC2">
    <w:name w:val="toc 2"/>
    <w:basedOn w:val="Normal"/>
    <w:next w:val="Normal"/>
    <w:semiHidden/>
    <w:rsid w:val="00566E13"/>
    <w:pPr>
      <w:tabs>
        <w:tab w:val="right" w:leader="dot" w:pos="9071"/>
      </w:tabs>
      <w:ind w:left="220"/>
    </w:pPr>
    <w:rPr>
      <w:smallCaps/>
    </w:rPr>
  </w:style>
  <w:style w:type="paragraph" w:styleId="TOC3">
    <w:name w:val="toc 3"/>
    <w:basedOn w:val="Normal"/>
    <w:next w:val="Normal"/>
    <w:semiHidden/>
    <w:rsid w:val="00566E13"/>
    <w:pPr>
      <w:tabs>
        <w:tab w:val="right" w:leader="dot" w:pos="9071"/>
      </w:tabs>
      <w:ind w:left="440"/>
    </w:pPr>
    <w:rPr>
      <w:i/>
    </w:rPr>
  </w:style>
  <w:style w:type="paragraph" w:styleId="TOC4">
    <w:name w:val="toc 4"/>
    <w:basedOn w:val="Normal"/>
    <w:next w:val="Normal"/>
    <w:semiHidden/>
    <w:rsid w:val="00566E13"/>
    <w:pPr>
      <w:tabs>
        <w:tab w:val="right" w:leader="dot" w:pos="9071"/>
      </w:tabs>
      <w:ind w:left="660"/>
    </w:pPr>
    <w:rPr>
      <w:rFonts w:ascii="Times New Roman" w:hAnsi="Times New Roman"/>
      <w:sz w:val="18"/>
    </w:rPr>
  </w:style>
  <w:style w:type="paragraph" w:styleId="TOC5">
    <w:name w:val="toc 5"/>
    <w:basedOn w:val="Normal"/>
    <w:next w:val="Normal"/>
    <w:semiHidden/>
    <w:rsid w:val="00566E13"/>
    <w:pPr>
      <w:tabs>
        <w:tab w:val="right" w:leader="dot" w:pos="9071"/>
      </w:tabs>
      <w:ind w:left="880"/>
    </w:pPr>
    <w:rPr>
      <w:rFonts w:ascii="Times New Roman" w:hAnsi="Times New Roman"/>
      <w:sz w:val="18"/>
    </w:rPr>
  </w:style>
  <w:style w:type="paragraph" w:styleId="TOC6">
    <w:name w:val="toc 6"/>
    <w:basedOn w:val="Normal"/>
    <w:next w:val="Normal"/>
    <w:semiHidden/>
    <w:rsid w:val="00566E13"/>
    <w:pPr>
      <w:tabs>
        <w:tab w:val="right" w:leader="dot" w:pos="9071"/>
      </w:tabs>
      <w:ind w:left="1100"/>
    </w:pPr>
    <w:rPr>
      <w:rFonts w:ascii="Times New Roman" w:hAnsi="Times New Roman"/>
      <w:sz w:val="18"/>
    </w:rPr>
  </w:style>
  <w:style w:type="paragraph" w:styleId="TOC7">
    <w:name w:val="toc 7"/>
    <w:basedOn w:val="Normal"/>
    <w:next w:val="Normal"/>
    <w:semiHidden/>
    <w:rsid w:val="00566E13"/>
    <w:pPr>
      <w:tabs>
        <w:tab w:val="right" w:leader="dot" w:pos="9071"/>
      </w:tabs>
      <w:ind w:left="1320"/>
    </w:pPr>
    <w:rPr>
      <w:rFonts w:ascii="Times New Roman" w:hAnsi="Times New Roman"/>
      <w:sz w:val="18"/>
    </w:rPr>
  </w:style>
  <w:style w:type="paragraph" w:styleId="TOC8">
    <w:name w:val="toc 8"/>
    <w:basedOn w:val="Normal"/>
    <w:next w:val="Normal"/>
    <w:semiHidden/>
    <w:rsid w:val="00566E13"/>
    <w:pPr>
      <w:tabs>
        <w:tab w:val="right" w:leader="dot" w:pos="9071"/>
      </w:tabs>
      <w:ind w:left="1540"/>
    </w:pPr>
    <w:rPr>
      <w:rFonts w:ascii="Times New Roman" w:hAnsi="Times New Roman"/>
      <w:sz w:val="18"/>
    </w:rPr>
  </w:style>
  <w:style w:type="paragraph" w:styleId="TOC9">
    <w:name w:val="toc 9"/>
    <w:basedOn w:val="Normal"/>
    <w:next w:val="Normal"/>
    <w:semiHidden/>
    <w:rsid w:val="00566E13"/>
    <w:pPr>
      <w:tabs>
        <w:tab w:val="right" w:leader="dot" w:pos="9071"/>
      </w:tabs>
      <w:ind w:left="1760"/>
    </w:pPr>
    <w:rPr>
      <w:rFonts w:ascii="Times New Roman" w:hAnsi="Times New Roman"/>
      <w:sz w:val="18"/>
    </w:rPr>
  </w:style>
  <w:style w:type="paragraph" w:customStyle="1" w:styleId="SubtitleCover">
    <w:name w:val="Subtitle Cover"/>
    <w:basedOn w:val="Normal"/>
    <w:rsid w:val="00566E13"/>
    <w:pPr>
      <w:spacing w:before="1520" w:line="240" w:lineRule="atLeast"/>
      <w:ind w:left="1077" w:right="1678"/>
    </w:pPr>
    <w:rPr>
      <w:i/>
      <w:sz w:val="32"/>
    </w:rPr>
  </w:style>
  <w:style w:type="paragraph" w:customStyle="1" w:styleId="versionno">
    <w:name w:val="version no."/>
    <w:basedOn w:val="SubtitleCover"/>
    <w:rsid w:val="00566E13"/>
    <w:pPr>
      <w:spacing w:before="200"/>
    </w:pPr>
  </w:style>
  <w:style w:type="paragraph" w:customStyle="1" w:styleId="Reporttext">
    <w:name w:val="Report text"/>
    <w:basedOn w:val="Normal"/>
    <w:rsid w:val="00566E13"/>
    <w:pPr>
      <w:spacing w:after="220" w:line="220" w:lineRule="atLeast"/>
      <w:ind w:left="1077"/>
    </w:pPr>
  </w:style>
  <w:style w:type="paragraph" w:styleId="Date">
    <w:name w:val="Date"/>
    <w:basedOn w:val="Normal"/>
    <w:rsid w:val="00566E13"/>
    <w:pPr>
      <w:jc w:val="center"/>
    </w:pPr>
    <w:rPr>
      <w:b/>
    </w:rPr>
  </w:style>
  <w:style w:type="paragraph" w:customStyle="1" w:styleId="Draft">
    <w:name w:val="Draft"/>
    <w:basedOn w:val="Normal"/>
    <w:rsid w:val="00566E13"/>
    <w:pPr>
      <w:spacing w:after="400" w:line="540" w:lineRule="exact"/>
      <w:ind w:left="1077" w:right="1418"/>
      <w:jc w:val="center"/>
    </w:pPr>
    <w:rPr>
      <w:sz w:val="20"/>
    </w:rPr>
  </w:style>
  <w:style w:type="paragraph" w:customStyle="1" w:styleId="footnote">
    <w:name w:val="footnote"/>
    <w:basedOn w:val="Normal"/>
    <w:rsid w:val="00566E13"/>
    <w:pPr>
      <w:keepLines/>
      <w:spacing w:after="240"/>
      <w:ind w:left="284" w:hanging="284"/>
    </w:pPr>
    <w:rPr>
      <w:sz w:val="20"/>
    </w:rPr>
  </w:style>
  <w:style w:type="paragraph" w:customStyle="1" w:styleId="TOCTitle">
    <w:name w:val="TOC Title"/>
    <w:basedOn w:val="Normal"/>
    <w:next w:val="Normal"/>
    <w:rsid w:val="00566E13"/>
    <w:pPr>
      <w:shd w:val="pct12" w:color="auto" w:fill="auto"/>
      <w:spacing w:line="240" w:lineRule="atLeast"/>
      <w:jc w:val="center"/>
    </w:pPr>
    <w:rPr>
      <w:b/>
      <w:sz w:val="32"/>
    </w:rPr>
  </w:style>
  <w:style w:type="character" w:styleId="PageNumber">
    <w:name w:val="page number"/>
    <w:basedOn w:val="DefaultParagraphFont"/>
    <w:rsid w:val="00566E13"/>
  </w:style>
  <w:style w:type="paragraph" w:customStyle="1" w:styleId="ReportHeading">
    <w:name w:val="Report Heading"/>
    <w:basedOn w:val="Normal"/>
    <w:next w:val="Reporttext"/>
    <w:rsid w:val="00566E13"/>
    <w:pPr>
      <w:pageBreakBefore/>
      <w:shd w:val="pct12" w:color="auto" w:fill="auto"/>
      <w:spacing w:before="220" w:after="220" w:line="280" w:lineRule="atLeast"/>
      <w:ind w:firstLine="1077"/>
    </w:pPr>
    <w:rPr>
      <w:b/>
      <w:sz w:val="24"/>
    </w:rPr>
  </w:style>
  <w:style w:type="paragraph" w:styleId="FootnoteText">
    <w:name w:val="footnote text"/>
    <w:basedOn w:val="Normal"/>
    <w:link w:val="FootnoteTextChar"/>
    <w:rsid w:val="00566E13"/>
    <w:rPr>
      <w:sz w:val="20"/>
    </w:rPr>
  </w:style>
  <w:style w:type="character" w:styleId="FootnoteReference">
    <w:name w:val="footnote reference"/>
    <w:basedOn w:val="DefaultParagraphFont"/>
    <w:rsid w:val="00566E13"/>
    <w:rPr>
      <w:vertAlign w:val="superscript"/>
    </w:rPr>
  </w:style>
  <w:style w:type="paragraph" w:customStyle="1" w:styleId="head1bullet">
    <w:name w:val="head 1 bullet"/>
    <w:basedOn w:val="head1text"/>
    <w:rsid w:val="00566E13"/>
    <w:pPr>
      <w:spacing w:after="120"/>
      <w:ind w:left="1361" w:hanging="284"/>
    </w:pPr>
  </w:style>
  <w:style w:type="paragraph" w:customStyle="1" w:styleId="head2bullet">
    <w:name w:val="head 2 bullet"/>
    <w:basedOn w:val="head2text"/>
    <w:rsid w:val="00566E13"/>
    <w:pPr>
      <w:spacing w:after="120"/>
      <w:ind w:left="1702" w:hanging="284"/>
    </w:pPr>
  </w:style>
  <w:style w:type="paragraph" w:customStyle="1" w:styleId="head3bullet">
    <w:name w:val="head 3 bullet"/>
    <w:basedOn w:val="head3text"/>
    <w:rsid w:val="00566E13"/>
    <w:pPr>
      <w:spacing w:after="120"/>
      <w:ind w:left="2155" w:hanging="284"/>
    </w:pPr>
  </w:style>
  <w:style w:type="paragraph" w:styleId="BodyText">
    <w:name w:val="Body Text"/>
    <w:basedOn w:val="Normal"/>
    <w:link w:val="BodyTextChar"/>
    <w:rsid w:val="0068610E"/>
    <w:pPr>
      <w:spacing w:after="200"/>
      <w:ind w:left="720"/>
      <w:jc w:val="both"/>
    </w:pPr>
    <w:rPr>
      <w:rFonts w:ascii="Arial Narrow" w:hAnsi="Arial Narrow"/>
      <w:szCs w:val="22"/>
    </w:rPr>
  </w:style>
  <w:style w:type="paragraph" w:customStyle="1" w:styleId="test2">
    <w:name w:val="test2"/>
    <w:basedOn w:val="Normal"/>
    <w:rsid w:val="00566E13"/>
    <w:pPr>
      <w:numPr>
        <w:numId w:val="2"/>
      </w:numPr>
      <w:spacing w:before="220" w:after="220" w:line="220" w:lineRule="atLeast"/>
    </w:pPr>
    <w:rPr>
      <w:b/>
      <w:i/>
      <w:sz w:val="44"/>
    </w:rPr>
  </w:style>
  <w:style w:type="paragraph" w:styleId="BalloonText">
    <w:name w:val="Balloon Text"/>
    <w:basedOn w:val="Normal"/>
    <w:semiHidden/>
    <w:rsid w:val="00233971"/>
    <w:rPr>
      <w:rFonts w:ascii="Tahoma" w:hAnsi="Tahoma" w:cs="Tahoma"/>
      <w:sz w:val="16"/>
      <w:szCs w:val="16"/>
    </w:rPr>
  </w:style>
  <w:style w:type="paragraph" w:customStyle="1" w:styleId="ITTHeading1">
    <w:name w:val="ITT Heading 1"/>
    <w:basedOn w:val="Normal"/>
    <w:rsid w:val="00AC352E"/>
    <w:pPr>
      <w:pageBreakBefore/>
      <w:numPr>
        <w:numId w:val="3"/>
      </w:numPr>
      <w:shd w:val="clear" w:color="auto" w:fill="E0E0E0"/>
      <w:spacing w:before="220" w:after="220"/>
    </w:pPr>
    <w:rPr>
      <w:rFonts w:cs="Arial"/>
      <w:b/>
      <w:sz w:val="32"/>
      <w:szCs w:val="32"/>
    </w:rPr>
  </w:style>
  <w:style w:type="character" w:styleId="CommentReference">
    <w:name w:val="annotation reference"/>
    <w:basedOn w:val="DefaultParagraphFont"/>
    <w:semiHidden/>
    <w:rsid w:val="00AC352E"/>
    <w:rPr>
      <w:sz w:val="16"/>
      <w:szCs w:val="16"/>
    </w:rPr>
  </w:style>
  <w:style w:type="paragraph" w:styleId="CommentText">
    <w:name w:val="annotation text"/>
    <w:basedOn w:val="Normal"/>
    <w:link w:val="CommentTextChar"/>
    <w:semiHidden/>
    <w:rsid w:val="00AC352E"/>
    <w:rPr>
      <w:sz w:val="20"/>
    </w:rPr>
  </w:style>
  <w:style w:type="paragraph" w:styleId="CommentSubject">
    <w:name w:val="annotation subject"/>
    <w:basedOn w:val="CommentText"/>
    <w:next w:val="CommentText"/>
    <w:semiHidden/>
    <w:rsid w:val="00AC352E"/>
    <w:rPr>
      <w:b/>
      <w:bCs/>
    </w:rPr>
  </w:style>
  <w:style w:type="paragraph" w:customStyle="1" w:styleId="Headings2">
    <w:name w:val="Heading s2"/>
    <w:basedOn w:val="Normal"/>
    <w:rsid w:val="00C82823"/>
  </w:style>
  <w:style w:type="paragraph" w:customStyle="1" w:styleId="Headings3">
    <w:name w:val="Heading s3"/>
    <w:basedOn w:val="Normal"/>
    <w:rsid w:val="00C82823"/>
  </w:style>
  <w:style w:type="paragraph" w:customStyle="1" w:styleId="ITTHeading2">
    <w:name w:val="ITT Heading 2"/>
    <w:basedOn w:val="Normal"/>
    <w:rsid w:val="00BB48B1"/>
    <w:pPr>
      <w:keepNext/>
      <w:numPr>
        <w:ilvl w:val="1"/>
        <w:numId w:val="3"/>
      </w:numPr>
      <w:spacing w:before="220" w:after="220"/>
    </w:pPr>
    <w:rPr>
      <w:rFonts w:ascii="Arial Narrow" w:hAnsi="Arial Narrow" w:cs="Arial"/>
      <w:b/>
    </w:rPr>
  </w:style>
  <w:style w:type="character" w:styleId="Hyperlink">
    <w:name w:val="Hyperlink"/>
    <w:basedOn w:val="DefaultParagraphFont"/>
    <w:uiPriority w:val="99"/>
    <w:rsid w:val="005E30F5"/>
    <w:rPr>
      <w:color w:val="0000FF"/>
      <w:u w:val="single"/>
    </w:rPr>
  </w:style>
  <w:style w:type="table" w:styleId="TableGrid">
    <w:name w:val="Table Grid"/>
    <w:aliases w:val="AEMO"/>
    <w:basedOn w:val="TableNormal"/>
    <w:rsid w:val="008D161C"/>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Single">
    <w:name w:val="Normal Single"/>
    <w:basedOn w:val="Normal"/>
    <w:rsid w:val="0067232D"/>
    <w:rPr>
      <w:rFonts w:ascii="Times New Roman" w:hAnsi="Times New Roman"/>
      <w:sz w:val="24"/>
    </w:rPr>
  </w:style>
  <w:style w:type="paragraph" w:customStyle="1" w:styleId="SubHeading3">
    <w:name w:val="SubHeading 3"/>
    <w:basedOn w:val="Heading3"/>
    <w:next w:val="NormalIndent"/>
    <w:rsid w:val="00497D98"/>
    <w:pPr>
      <w:keepNext w:val="0"/>
      <w:numPr>
        <w:ilvl w:val="0"/>
        <w:numId w:val="0"/>
      </w:numPr>
      <w:tabs>
        <w:tab w:val="num" w:pos="0"/>
      </w:tabs>
      <w:spacing w:before="0" w:after="240" w:line="240" w:lineRule="atLeast"/>
      <w:ind w:left="850" w:hanging="850"/>
      <w:jc w:val="both"/>
    </w:pPr>
    <w:rPr>
      <w:rFonts w:ascii="Times New Roman" w:hAnsi="Times New Roman"/>
      <w:sz w:val="24"/>
    </w:rPr>
  </w:style>
  <w:style w:type="paragraph" w:styleId="NormalIndent">
    <w:name w:val="Normal Indent"/>
    <w:basedOn w:val="Normal"/>
    <w:rsid w:val="00497D98"/>
    <w:pPr>
      <w:ind w:left="720"/>
    </w:pPr>
  </w:style>
  <w:style w:type="paragraph" w:customStyle="1" w:styleId="ITTScheduleHeading1">
    <w:name w:val="ITT Schedule Heading 1"/>
    <w:basedOn w:val="ITTHeading1"/>
    <w:rsid w:val="00EE7F1C"/>
    <w:pPr>
      <w:numPr>
        <w:numId w:val="0"/>
      </w:numPr>
      <w:jc w:val="center"/>
    </w:pPr>
    <w:rPr>
      <w:sz w:val="24"/>
      <w:szCs w:val="24"/>
    </w:rPr>
  </w:style>
  <w:style w:type="paragraph" w:customStyle="1" w:styleId="ITTScheduleHeading2">
    <w:name w:val="ITT Schedule Heading 2"/>
    <w:basedOn w:val="Normal"/>
    <w:rsid w:val="00717EA9"/>
    <w:pPr>
      <w:spacing w:after="220"/>
      <w:jc w:val="center"/>
    </w:pPr>
    <w:rPr>
      <w:rFonts w:cs="Arial"/>
      <w:b/>
      <w:sz w:val="32"/>
      <w:szCs w:val="32"/>
    </w:rPr>
  </w:style>
  <w:style w:type="paragraph" w:customStyle="1" w:styleId="ITTHeading3">
    <w:name w:val="ITT Heading 3"/>
    <w:basedOn w:val="Headings3"/>
    <w:rsid w:val="00761E0F"/>
    <w:pPr>
      <w:keepNext/>
      <w:numPr>
        <w:ilvl w:val="2"/>
        <w:numId w:val="3"/>
      </w:numPr>
      <w:spacing w:after="220"/>
    </w:pPr>
    <w:rPr>
      <w:rFonts w:cs="Arial"/>
      <w:b/>
    </w:rPr>
  </w:style>
  <w:style w:type="character" w:styleId="FollowedHyperlink">
    <w:name w:val="FollowedHyperlink"/>
    <w:basedOn w:val="DefaultParagraphFont"/>
    <w:rsid w:val="00A600E0"/>
    <w:rPr>
      <w:color w:val="606420"/>
      <w:u w:val="single"/>
    </w:rPr>
  </w:style>
  <w:style w:type="paragraph" w:customStyle="1" w:styleId="Indent2">
    <w:name w:val="Indent 2"/>
    <w:basedOn w:val="Heading2"/>
    <w:link w:val="Indent2Char"/>
    <w:rsid w:val="00A45862"/>
    <w:pPr>
      <w:keepNext w:val="0"/>
      <w:spacing w:before="0" w:after="240" w:line="240" w:lineRule="auto"/>
      <w:outlineLvl w:val="9"/>
    </w:pPr>
    <w:rPr>
      <w:rFonts w:ascii="Times New Roman" w:hAnsi="Times New Roman"/>
      <w:b w:val="0"/>
      <w:sz w:val="23"/>
      <w:lang w:val="en-US"/>
    </w:rPr>
  </w:style>
  <w:style w:type="paragraph" w:customStyle="1" w:styleId="SchedH1">
    <w:name w:val="SchedH1"/>
    <w:basedOn w:val="Normal"/>
    <w:next w:val="SchedH2"/>
    <w:rsid w:val="00A45862"/>
    <w:pPr>
      <w:keepNext/>
      <w:numPr>
        <w:numId w:val="4"/>
      </w:numPr>
      <w:pBdr>
        <w:top w:val="single" w:sz="6" w:space="2" w:color="auto"/>
      </w:pBdr>
      <w:spacing w:before="240"/>
    </w:pPr>
    <w:rPr>
      <w:b/>
      <w:sz w:val="28"/>
    </w:rPr>
  </w:style>
  <w:style w:type="paragraph" w:customStyle="1" w:styleId="SchedH2">
    <w:name w:val="SchedH2"/>
    <w:basedOn w:val="Normal"/>
    <w:next w:val="Indent2"/>
    <w:rsid w:val="00A45862"/>
    <w:pPr>
      <w:keepNext/>
      <w:numPr>
        <w:ilvl w:val="1"/>
        <w:numId w:val="4"/>
      </w:numPr>
    </w:pPr>
    <w:rPr>
      <w:b/>
    </w:rPr>
  </w:style>
  <w:style w:type="paragraph" w:customStyle="1" w:styleId="SchedH3">
    <w:name w:val="SchedH3"/>
    <w:basedOn w:val="Normal"/>
    <w:rsid w:val="00A45862"/>
    <w:pPr>
      <w:numPr>
        <w:ilvl w:val="2"/>
        <w:numId w:val="4"/>
      </w:numPr>
      <w:spacing w:after="240"/>
    </w:pPr>
    <w:rPr>
      <w:rFonts w:ascii="Times New Roman" w:hAnsi="Times New Roman"/>
      <w:sz w:val="23"/>
    </w:rPr>
  </w:style>
  <w:style w:type="paragraph" w:customStyle="1" w:styleId="SchedH4">
    <w:name w:val="SchedH4"/>
    <w:basedOn w:val="Normal"/>
    <w:rsid w:val="00A45862"/>
    <w:pPr>
      <w:numPr>
        <w:ilvl w:val="3"/>
        <w:numId w:val="4"/>
      </w:numPr>
      <w:spacing w:after="240"/>
    </w:pPr>
    <w:rPr>
      <w:rFonts w:ascii="Times New Roman" w:hAnsi="Times New Roman"/>
      <w:sz w:val="23"/>
    </w:rPr>
  </w:style>
  <w:style w:type="paragraph" w:customStyle="1" w:styleId="SchedH5">
    <w:name w:val="SchedH5"/>
    <w:basedOn w:val="Normal"/>
    <w:rsid w:val="00A45862"/>
    <w:pPr>
      <w:numPr>
        <w:ilvl w:val="4"/>
        <w:numId w:val="4"/>
      </w:numPr>
      <w:spacing w:after="240"/>
    </w:pPr>
    <w:rPr>
      <w:rFonts w:ascii="Times New Roman" w:hAnsi="Times New Roman"/>
      <w:sz w:val="23"/>
    </w:rPr>
  </w:style>
  <w:style w:type="character" w:customStyle="1" w:styleId="Indent2Char">
    <w:name w:val="Indent 2 Char"/>
    <w:basedOn w:val="DefaultParagraphFont"/>
    <w:link w:val="Indent2"/>
    <w:rsid w:val="00A45862"/>
    <w:rPr>
      <w:sz w:val="23"/>
      <w:lang w:val="en-US" w:eastAsia="en-US"/>
    </w:rPr>
  </w:style>
  <w:style w:type="paragraph" w:customStyle="1" w:styleId="Indent1">
    <w:name w:val="Indent 1"/>
    <w:basedOn w:val="Heading1"/>
    <w:rsid w:val="00F579BB"/>
    <w:pPr>
      <w:keepNext w:val="0"/>
      <w:shd w:val="clear" w:color="auto" w:fill="auto"/>
      <w:tabs>
        <w:tab w:val="clear" w:pos="1361"/>
      </w:tabs>
      <w:spacing w:before="0" w:after="240" w:line="240" w:lineRule="auto"/>
      <w:ind w:firstLine="0"/>
      <w:outlineLvl w:val="9"/>
    </w:pPr>
    <w:rPr>
      <w:rFonts w:ascii="Times New Roman" w:hAnsi="Times New Roman"/>
      <w:b w:val="0"/>
      <w:sz w:val="23"/>
    </w:rPr>
  </w:style>
  <w:style w:type="paragraph" w:styleId="Subtitle">
    <w:name w:val="Subtitle"/>
    <w:basedOn w:val="Normal"/>
    <w:qFormat/>
    <w:rsid w:val="00F579BB"/>
    <w:pPr>
      <w:jc w:val="center"/>
    </w:pPr>
    <w:rPr>
      <w:rFonts w:ascii="Arial Narrow" w:hAnsi="Arial Narrow"/>
      <w:b/>
      <w:sz w:val="20"/>
    </w:rPr>
  </w:style>
  <w:style w:type="paragraph" w:styleId="ListBullet">
    <w:name w:val="List Bullet"/>
    <w:aliases w:val="List Bullet - AEMO"/>
    <w:basedOn w:val="LRDP12"/>
    <w:rsid w:val="00185852"/>
    <w:pPr>
      <w:tabs>
        <w:tab w:val="left" w:pos="1134"/>
      </w:tabs>
      <w:spacing w:after="120"/>
      <w:jc w:val="both"/>
    </w:pPr>
    <w:rPr>
      <w:rFonts w:ascii="Arial Narrow" w:hAnsi="Arial Narrow"/>
    </w:rPr>
  </w:style>
  <w:style w:type="paragraph" w:customStyle="1" w:styleId="AEMONumberedlist">
    <w:name w:val="AEMO Numbered list"/>
    <w:basedOn w:val="Normal"/>
    <w:qFormat/>
    <w:rsid w:val="00FE557F"/>
    <w:pPr>
      <w:numPr>
        <w:numId w:val="5"/>
      </w:numPr>
      <w:tabs>
        <w:tab w:val="left" w:pos="794"/>
        <w:tab w:val="left" w:pos="1191"/>
      </w:tabs>
      <w:spacing w:after="180" w:line="280" w:lineRule="atLeast"/>
    </w:pPr>
    <w:rPr>
      <w:color w:val="1E4164"/>
      <w:lang w:eastAsia="en-AU"/>
    </w:rPr>
  </w:style>
  <w:style w:type="character" w:customStyle="1" w:styleId="FootnoteTextChar">
    <w:name w:val="Footnote Text Char"/>
    <w:basedOn w:val="DefaultParagraphFont"/>
    <w:link w:val="FootnoteText"/>
    <w:rsid w:val="00FE557F"/>
    <w:rPr>
      <w:rFonts w:ascii="Arial" w:hAnsi="Arial"/>
      <w:lang w:eastAsia="en-US"/>
    </w:rPr>
  </w:style>
  <w:style w:type="character" w:customStyle="1" w:styleId="BodyTextChar">
    <w:name w:val="Body Text Char"/>
    <w:basedOn w:val="DefaultParagraphFont"/>
    <w:link w:val="BodyText"/>
    <w:rsid w:val="0068610E"/>
    <w:rPr>
      <w:rFonts w:ascii="Arial Narrow" w:hAnsi="Arial Narrow"/>
      <w:sz w:val="22"/>
      <w:szCs w:val="22"/>
      <w:lang w:eastAsia="en-US"/>
    </w:rPr>
  </w:style>
  <w:style w:type="paragraph" w:customStyle="1" w:styleId="FPbullet">
    <w:name w:val="FPbullet"/>
    <w:basedOn w:val="Normal"/>
    <w:rsid w:val="00315BED"/>
    <w:pPr>
      <w:spacing w:line="260" w:lineRule="atLeast"/>
      <w:ind w:left="624" w:right="-567" w:hanging="284"/>
    </w:pPr>
    <w:rPr>
      <w:sz w:val="20"/>
    </w:rPr>
  </w:style>
  <w:style w:type="paragraph" w:styleId="ListParagraph">
    <w:name w:val="List Paragraph"/>
    <w:basedOn w:val="Normal"/>
    <w:uiPriority w:val="34"/>
    <w:qFormat/>
    <w:rsid w:val="00B41EE7"/>
    <w:pPr>
      <w:ind w:left="720"/>
      <w:contextualSpacing/>
    </w:pPr>
  </w:style>
  <w:style w:type="paragraph" w:styleId="BodyText2">
    <w:name w:val="Body Text 2"/>
    <w:basedOn w:val="Normal"/>
    <w:link w:val="BodyText2Char"/>
    <w:rsid w:val="00FF75D4"/>
    <w:pPr>
      <w:spacing w:line="480" w:lineRule="auto"/>
    </w:pPr>
  </w:style>
  <w:style w:type="character" w:customStyle="1" w:styleId="BodyText2Char">
    <w:name w:val="Body Text 2 Char"/>
    <w:basedOn w:val="DefaultParagraphFont"/>
    <w:link w:val="BodyText2"/>
    <w:rsid w:val="00FF75D4"/>
    <w:rPr>
      <w:rFonts w:ascii="Arial" w:hAnsi="Arial"/>
      <w:sz w:val="22"/>
      <w:lang w:eastAsia="en-US"/>
    </w:rPr>
  </w:style>
  <w:style w:type="paragraph" w:customStyle="1" w:styleId="LRDP12">
    <w:name w:val="LR DP12"/>
    <w:rsid w:val="00FF75D4"/>
    <w:pPr>
      <w:numPr>
        <w:numId w:val="6"/>
      </w:numPr>
      <w:spacing w:after="240"/>
    </w:pPr>
    <w:rPr>
      <w:rFonts w:ascii="Arial" w:hAnsi="Arial"/>
      <w:sz w:val="22"/>
      <w:szCs w:val="24"/>
      <w:lang w:val="en-GB" w:eastAsia="en-GB"/>
    </w:rPr>
  </w:style>
  <w:style w:type="paragraph" w:styleId="Revision">
    <w:name w:val="Revision"/>
    <w:hidden/>
    <w:uiPriority w:val="99"/>
    <w:semiHidden/>
    <w:rsid w:val="00401A23"/>
    <w:rPr>
      <w:rFonts w:ascii="Arial" w:hAnsi="Arial"/>
      <w:sz w:val="22"/>
      <w:lang w:eastAsia="en-US"/>
    </w:rPr>
  </w:style>
  <w:style w:type="paragraph" w:customStyle="1" w:styleId="TableTitle">
    <w:name w:val="Table Title"/>
    <w:basedOn w:val="Indent2"/>
    <w:qFormat/>
    <w:rsid w:val="00BB48B1"/>
    <w:pPr>
      <w:numPr>
        <w:ilvl w:val="0"/>
        <w:numId w:val="0"/>
      </w:numPr>
      <w:spacing w:before="60" w:after="60"/>
    </w:pPr>
    <w:rPr>
      <w:rFonts w:ascii="Arial Narrow" w:hAnsi="Arial Narrow" w:cs="Arial"/>
      <w:b/>
      <w:sz w:val="20"/>
      <w:szCs w:val="22"/>
    </w:rPr>
  </w:style>
  <w:style w:type="paragraph" w:customStyle="1" w:styleId="TableText">
    <w:name w:val="Table Text"/>
    <w:basedOn w:val="Indent2"/>
    <w:uiPriority w:val="3"/>
    <w:qFormat/>
    <w:rsid w:val="00BB48B1"/>
    <w:pPr>
      <w:numPr>
        <w:ilvl w:val="0"/>
        <w:numId w:val="0"/>
      </w:numPr>
      <w:spacing w:before="60" w:after="60"/>
    </w:pPr>
    <w:rPr>
      <w:rFonts w:ascii="Arial Narrow" w:hAnsi="Arial Narrow" w:cs="Arial"/>
      <w:sz w:val="20"/>
      <w:szCs w:val="22"/>
    </w:rPr>
  </w:style>
  <w:style w:type="paragraph" w:customStyle="1" w:styleId="TableTextright">
    <w:name w:val="Table Text right"/>
    <w:basedOn w:val="TableText"/>
    <w:qFormat/>
    <w:rsid w:val="00BB48B1"/>
    <w:pPr>
      <w:jc w:val="right"/>
    </w:pPr>
  </w:style>
  <w:style w:type="paragraph" w:customStyle="1" w:styleId="ScheduleSection">
    <w:name w:val="ScheduleSection"/>
    <w:basedOn w:val="Normal"/>
    <w:next w:val="ResetPara"/>
    <w:qFormat/>
    <w:rsid w:val="00345AEC"/>
    <w:pPr>
      <w:numPr>
        <w:numId w:val="10"/>
      </w:numPr>
      <w:spacing w:before="0"/>
      <w:outlineLvl w:val="0"/>
    </w:pPr>
    <w:rPr>
      <w:rFonts w:asciiTheme="minorHAnsi" w:eastAsiaTheme="minorHAnsi" w:hAnsiTheme="minorHAnsi" w:cstheme="minorBidi"/>
      <w:szCs w:val="22"/>
    </w:rPr>
  </w:style>
  <w:style w:type="paragraph" w:customStyle="1" w:styleId="SchedHdg1">
    <w:name w:val="SchedHdg 1"/>
    <w:next w:val="ResetPara"/>
    <w:qFormat/>
    <w:rsid w:val="00345AEC"/>
    <w:pPr>
      <w:numPr>
        <w:ilvl w:val="1"/>
        <w:numId w:val="10"/>
      </w:numPr>
      <w:spacing w:after="160" w:line="259" w:lineRule="auto"/>
      <w:outlineLvl w:val="0"/>
    </w:pPr>
    <w:rPr>
      <w:rFonts w:asciiTheme="minorHAnsi" w:eastAsiaTheme="minorHAnsi" w:hAnsiTheme="minorHAnsi" w:cstheme="minorBidi"/>
      <w:sz w:val="22"/>
      <w:szCs w:val="22"/>
      <w:lang w:eastAsia="en-US"/>
    </w:rPr>
  </w:style>
  <w:style w:type="paragraph" w:customStyle="1" w:styleId="SchedHdg2">
    <w:name w:val="SchedHdg 2"/>
    <w:next w:val="ResetPara"/>
    <w:qFormat/>
    <w:rsid w:val="00345AEC"/>
    <w:pPr>
      <w:keepNext/>
      <w:numPr>
        <w:ilvl w:val="2"/>
        <w:numId w:val="10"/>
      </w:numPr>
      <w:spacing w:before="120" w:after="160" w:line="259" w:lineRule="auto"/>
      <w:outlineLvl w:val="1"/>
    </w:pPr>
    <w:rPr>
      <w:rFonts w:asciiTheme="minorHAnsi" w:eastAsiaTheme="minorHAnsi" w:hAnsiTheme="minorHAnsi" w:cstheme="minorBidi"/>
      <w:sz w:val="26"/>
      <w:szCs w:val="22"/>
      <w:lang w:eastAsia="en-US"/>
    </w:rPr>
  </w:style>
  <w:style w:type="paragraph" w:customStyle="1" w:styleId="ResetPara">
    <w:name w:val="ResetPara"/>
    <w:next w:val="Normal"/>
    <w:qFormat/>
    <w:rsid w:val="00345AEC"/>
    <w:pPr>
      <w:keepNext/>
      <w:numPr>
        <w:numId w:val="9"/>
      </w:numPr>
    </w:pPr>
    <w:rPr>
      <w:rFonts w:asciiTheme="minorHAnsi" w:eastAsiaTheme="majorEastAsia" w:hAnsiTheme="minorHAnsi" w:cstheme="majorBidi"/>
      <w:color w:val="FF0000"/>
      <w:sz w:val="8"/>
      <w:szCs w:val="32"/>
      <w:lang w:eastAsia="en-US"/>
    </w:rPr>
  </w:style>
  <w:style w:type="paragraph" w:customStyle="1" w:styleId="TxtNum1">
    <w:name w:val="TxtNum1"/>
    <w:basedOn w:val="Normal"/>
    <w:qFormat/>
    <w:rsid w:val="00345AEC"/>
    <w:pPr>
      <w:numPr>
        <w:ilvl w:val="1"/>
        <w:numId w:val="9"/>
      </w:numPr>
      <w:spacing w:before="0"/>
    </w:pPr>
    <w:rPr>
      <w:rFonts w:asciiTheme="minorHAnsi" w:eastAsiaTheme="minorHAnsi" w:hAnsiTheme="minorHAnsi" w:cstheme="minorBidi"/>
      <w:szCs w:val="22"/>
    </w:rPr>
  </w:style>
  <w:style w:type="paragraph" w:customStyle="1" w:styleId="TxtNum2">
    <w:name w:val="TxtNum2"/>
    <w:basedOn w:val="Normal"/>
    <w:qFormat/>
    <w:rsid w:val="00345AEC"/>
    <w:pPr>
      <w:numPr>
        <w:ilvl w:val="2"/>
        <w:numId w:val="9"/>
      </w:numPr>
      <w:spacing w:before="0"/>
    </w:pPr>
    <w:rPr>
      <w:rFonts w:asciiTheme="minorHAnsi" w:eastAsiaTheme="minorHAnsi" w:hAnsiTheme="minorHAnsi" w:cstheme="minorBidi"/>
      <w:szCs w:val="22"/>
    </w:rPr>
  </w:style>
  <w:style w:type="paragraph" w:customStyle="1" w:styleId="TxtNum3">
    <w:name w:val="TxtNum3"/>
    <w:basedOn w:val="Normal"/>
    <w:qFormat/>
    <w:rsid w:val="00345AEC"/>
    <w:pPr>
      <w:numPr>
        <w:ilvl w:val="3"/>
        <w:numId w:val="9"/>
      </w:numPr>
      <w:spacing w:before="0"/>
    </w:pPr>
    <w:rPr>
      <w:rFonts w:asciiTheme="minorHAnsi" w:eastAsiaTheme="minorHAnsi" w:hAnsiTheme="minorHAnsi" w:cstheme="minorBidi"/>
      <w:szCs w:val="22"/>
    </w:rPr>
  </w:style>
  <w:style w:type="character" w:styleId="Strong">
    <w:name w:val="Strong"/>
    <w:basedOn w:val="DefaultParagraphFont"/>
    <w:qFormat/>
    <w:rsid w:val="00345AEC"/>
    <w:rPr>
      <w:b/>
      <w:bCs/>
    </w:rPr>
  </w:style>
  <w:style w:type="character" w:customStyle="1" w:styleId="UnresolvedMention1">
    <w:name w:val="Unresolved Mention1"/>
    <w:basedOn w:val="DefaultParagraphFont"/>
    <w:uiPriority w:val="99"/>
    <w:semiHidden/>
    <w:unhideWhenUsed/>
    <w:rsid w:val="00522DDB"/>
    <w:rPr>
      <w:color w:val="605E5C"/>
      <w:shd w:val="clear" w:color="auto" w:fill="E1DFDD"/>
    </w:rPr>
  </w:style>
  <w:style w:type="character" w:styleId="UnresolvedMention">
    <w:name w:val="Unresolved Mention"/>
    <w:basedOn w:val="DefaultParagraphFont"/>
    <w:uiPriority w:val="99"/>
    <w:unhideWhenUsed/>
    <w:rsid w:val="007E2AF0"/>
    <w:rPr>
      <w:color w:val="605E5C"/>
      <w:shd w:val="clear" w:color="auto" w:fill="E1DFDD"/>
    </w:rPr>
  </w:style>
  <w:style w:type="character" w:styleId="Mention">
    <w:name w:val="Mention"/>
    <w:basedOn w:val="DefaultParagraphFont"/>
    <w:uiPriority w:val="99"/>
    <w:unhideWhenUsed/>
    <w:rsid w:val="007E2AF0"/>
    <w:rPr>
      <w:color w:val="2B579A"/>
      <w:shd w:val="clear" w:color="auto" w:fill="E1DFDD"/>
    </w:rPr>
  </w:style>
  <w:style w:type="character" w:customStyle="1" w:styleId="normaltextrun">
    <w:name w:val="normaltextrun"/>
    <w:basedOn w:val="DefaultParagraphFont"/>
    <w:rsid w:val="00DE6E8E"/>
  </w:style>
  <w:style w:type="character" w:customStyle="1" w:styleId="eop">
    <w:name w:val="eop"/>
    <w:basedOn w:val="DefaultParagraphFont"/>
    <w:rsid w:val="00DE6E8E"/>
  </w:style>
  <w:style w:type="character" w:customStyle="1" w:styleId="CommentTextChar">
    <w:name w:val="Comment Text Char"/>
    <w:basedOn w:val="DefaultParagraphFont"/>
    <w:link w:val="CommentText"/>
    <w:semiHidden/>
    <w:rsid w:val="00BD468D"/>
    <w:rPr>
      <w:rFonts w:ascii="Arial" w:hAnsi="Arial"/>
      <w:lang w:eastAsia="en-US"/>
    </w:rPr>
  </w:style>
  <w:style w:type="paragraph" w:customStyle="1" w:styleId="TableHeading">
    <w:name w:val="Table Heading"/>
    <w:uiPriority w:val="3"/>
    <w:qFormat/>
    <w:rsid w:val="00E72371"/>
    <w:pPr>
      <w:spacing w:before="60" w:after="60"/>
    </w:pPr>
    <w:rPr>
      <w:rFonts w:asciiTheme="majorHAnsi" w:eastAsia="Calibri" w:hAnsiTheme="majorHAnsi"/>
      <w:b/>
      <w:color w:val="000000" w:themeColor="text1"/>
      <w:sz w:val="1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31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emo.com.au/en/energy-systems/electricity/national-electricity-market-nem/system-operations/ancillary-services/system-restart-ancillary-services-guideline" TargetMode="External"/><Relationship Id="rId18" Type="http://schemas.openxmlformats.org/officeDocument/2006/relationships/package" Target="embeddings/Microsoft_Visio_Drawing.vsdx"/><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package" Target="embeddings/Microsoft_Visio_Drawing1.vsd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emo.com.au/-/media/files/stakeholder_consultation/consultations/nem-consultations/2019/lbsp-amendments/system-restart-communications-protocol.pdf?la=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B610B51EE56B746BEB4C69AC27CDC0F" ma:contentTypeVersion="10" ma:contentTypeDescription="Create a new document." ma:contentTypeScope="" ma:versionID="031d90baeab0c53816a22e8643bec5d4">
  <xsd:schema xmlns:xsd="http://www.w3.org/2001/XMLSchema" xmlns:xs="http://www.w3.org/2001/XMLSchema" xmlns:p="http://schemas.microsoft.com/office/2006/metadata/properties" xmlns:ns2="73fab0c8-ff90-4c2c-a42c-6b4156525a1c" xmlns:ns3="d43f2b35-f2c0-4844-94f5-e9ea0fd13236" targetNamespace="http://schemas.microsoft.com/office/2006/metadata/properties" ma:root="true" ma:fieldsID="8a025f11b0e8a3bab6679292bff84559" ns2:_="" ns3:_="">
    <xsd:import namespace="73fab0c8-ff90-4c2c-a42c-6b4156525a1c"/>
    <xsd:import namespace="d43f2b35-f2c0-4844-94f5-e9ea0fd132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fab0c8-ff90-4c2c-a42c-6b4156525a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3f2b35-f2c0-4844-94f5-e9ea0fd1323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d43f2b35-f2c0-4844-94f5-e9ea0fd13236">
      <UserInfo>
        <DisplayName>Lee Richardson</DisplayName>
        <AccountId>13</AccountId>
        <AccountType/>
      </UserInfo>
      <UserInfo>
        <DisplayName>Babak Badrzadeh</DisplayName>
        <AccountId>24</AccountId>
        <AccountType/>
      </UserInfo>
      <UserInfo>
        <DisplayName>Louise Thomson</DisplayName>
        <AccountId>7</AccountId>
        <AccountType/>
      </UserInfo>
      <UserInfo>
        <DisplayName>Fabian Spescha</DisplayName>
        <AccountId>14</AccountId>
        <AccountType/>
      </UserInfo>
      <UserInfo>
        <DisplayName>Franc Cavoli</DisplayName>
        <AccountId>104</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90A703-885E-43C5-AF68-04BB0C714544}">
  <ds:schemaRefs>
    <ds:schemaRef ds:uri="http://schemas.openxmlformats.org/officeDocument/2006/bibliography"/>
  </ds:schemaRefs>
</ds:datastoreItem>
</file>

<file path=customXml/itemProps2.xml><?xml version="1.0" encoding="utf-8"?>
<ds:datastoreItem xmlns:ds="http://schemas.openxmlformats.org/officeDocument/2006/customXml" ds:itemID="{67764E27-D78A-4644-B29C-FECCFD0082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fab0c8-ff90-4c2c-a42c-6b4156525a1c"/>
    <ds:schemaRef ds:uri="d43f2b35-f2c0-4844-94f5-e9ea0fd13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B6ACD5-E5BB-4391-A5E6-36BBC184C1DE}">
  <ds:schemaRefs>
    <ds:schemaRef ds:uri="http://schemas.microsoft.com/office/2006/metadata/properties"/>
    <ds:schemaRef ds:uri="http://schemas.microsoft.com/office/infopath/2007/PartnerControls"/>
    <ds:schemaRef ds:uri="d43f2b35-f2c0-4844-94f5-e9ea0fd13236"/>
  </ds:schemaRefs>
</ds:datastoreItem>
</file>

<file path=customXml/itemProps4.xml><?xml version="1.0" encoding="utf-8"?>
<ds:datastoreItem xmlns:ds="http://schemas.openxmlformats.org/officeDocument/2006/customXml" ds:itemID="{BB98D0E9-898E-48DC-A464-F016978C37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30</Pages>
  <Words>7502</Words>
  <Characters>41239</Characters>
  <Application>Microsoft Office Word</Application>
  <DocSecurity>0</DocSecurity>
  <Lines>343</Lines>
  <Paragraphs>97</Paragraphs>
  <ScaleCrop>false</ScaleCrop>
  <HeadingPairs>
    <vt:vector size="2" baseType="variant">
      <vt:variant>
        <vt:lpstr>Title</vt:lpstr>
      </vt:variant>
      <vt:variant>
        <vt:i4>1</vt:i4>
      </vt:variant>
    </vt:vector>
  </HeadingPairs>
  <TitlesOfParts>
    <vt:vector size="1" baseType="lpstr">
      <vt:lpstr>SRAS ITT 2018</vt:lpstr>
    </vt:vector>
  </TitlesOfParts>
  <Company>NEMMCO</Company>
  <LinksUpToDate>false</LinksUpToDate>
  <CharactersWithSpaces>48644</CharactersWithSpaces>
  <SharedDoc>false</SharedDoc>
  <HLinks>
    <vt:vector size="66" baseType="variant">
      <vt:variant>
        <vt:i4>2949203</vt:i4>
      </vt:variant>
      <vt:variant>
        <vt:i4>63</vt:i4>
      </vt:variant>
      <vt:variant>
        <vt:i4>0</vt:i4>
      </vt:variant>
      <vt:variant>
        <vt:i4>5</vt:i4>
      </vt:variant>
      <vt:variant>
        <vt:lpwstr>https://aemo.com.au/-/media/files/stakeholder_consultation/consultations/nem-consultations/2019/lbsp-amendments/system-restart-communications-protocol.pdf?la=en</vt:lpwstr>
      </vt:variant>
      <vt:variant>
        <vt:lpwstr/>
      </vt:variant>
      <vt:variant>
        <vt:i4>2949158</vt:i4>
      </vt:variant>
      <vt:variant>
        <vt:i4>60</vt:i4>
      </vt:variant>
      <vt:variant>
        <vt:i4>0</vt:i4>
      </vt:variant>
      <vt:variant>
        <vt:i4>5</vt:i4>
      </vt:variant>
      <vt:variant>
        <vt:lpwstr>https://aemo.com.au/en/energy-systems/electricity/national-electricity-market-nem/system-operations/ancillary-services/system-restart-ancillary-services-guideline</vt:lpwstr>
      </vt:variant>
      <vt:variant>
        <vt:lpwstr/>
      </vt:variant>
      <vt:variant>
        <vt:i4>1638455</vt:i4>
      </vt:variant>
      <vt:variant>
        <vt:i4>50</vt:i4>
      </vt:variant>
      <vt:variant>
        <vt:i4>0</vt:i4>
      </vt:variant>
      <vt:variant>
        <vt:i4>5</vt:i4>
      </vt:variant>
      <vt:variant>
        <vt:lpwstr/>
      </vt:variant>
      <vt:variant>
        <vt:lpwstr>_Toc133844118</vt:lpwstr>
      </vt:variant>
      <vt:variant>
        <vt:i4>1638455</vt:i4>
      </vt:variant>
      <vt:variant>
        <vt:i4>44</vt:i4>
      </vt:variant>
      <vt:variant>
        <vt:i4>0</vt:i4>
      </vt:variant>
      <vt:variant>
        <vt:i4>5</vt:i4>
      </vt:variant>
      <vt:variant>
        <vt:lpwstr/>
      </vt:variant>
      <vt:variant>
        <vt:lpwstr>_Toc133844117</vt:lpwstr>
      </vt:variant>
      <vt:variant>
        <vt:i4>1638455</vt:i4>
      </vt:variant>
      <vt:variant>
        <vt:i4>38</vt:i4>
      </vt:variant>
      <vt:variant>
        <vt:i4>0</vt:i4>
      </vt:variant>
      <vt:variant>
        <vt:i4>5</vt:i4>
      </vt:variant>
      <vt:variant>
        <vt:lpwstr/>
      </vt:variant>
      <vt:variant>
        <vt:lpwstr>_Toc133844116</vt:lpwstr>
      </vt:variant>
      <vt:variant>
        <vt:i4>1638455</vt:i4>
      </vt:variant>
      <vt:variant>
        <vt:i4>32</vt:i4>
      </vt:variant>
      <vt:variant>
        <vt:i4>0</vt:i4>
      </vt:variant>
      <vt:variant>
        <vt:i4>5</vt:i4>
      </vt:variant>
      <vt:variant>
        <vt:lpwstr/>
      </vt:variant>
      <vt:variant>
        <vt:lpwstr>_Toc133844115</vt:lpwstr>
      </vt:variant>
      <vt:variant>
        <vt:i4>1638455</vt:i4>
      </vt:variant>
      <vt:variant>
        <vt:i4>26</vt:i4>
      </vt:variant>
      <vt:variant>
        <vt:i4>0</vt:i4>
      </vt:variant>
      <vt:variant>
        <vt:i4>5</vt:i4>
      </vt:variant>
      <vt:variant>
        <vt:lpwstr/>
      </vt:variant>
      <vt:variant>
        <vt:lpwstr>_Toc133844114</vt:lpwstr>
      </vt:variant>
      <vt:variant>
        <vt:i4>1638455</vt:i4>
      </vt:variant>
      <vt:variant>
        <vt:i4>20</vt:i4>
      </vt:variant>
      <vt:variant>
        <vt:i4>0</vt:i4>
      </vt:variant>
      <vt:variant>
        <vt:i4>5</vt:i4>
      </vt:variant>
      <vt:variant>
        <vt:lpwstr/>
      </vt:variant>
      <vt:variant>
        <vt:lpwstr>_Toc133844113</vt:lpwstr>
      </vt:variant>
      <vt:variant>
        <vt:i4>1638455</vt:i4>
      </vt:variant>
      <vt:variant>
        <vt:i4>14</vt:i4>
      </vt:variant>
      <vt:variant>
        <vt:i4>0</vt:i4>
      </vt:variant>
      <vt:variant>
        <vt:i4>5</vt:i4>
      </vt:variant>
      <vt:variant>
        <vt:lpwstr/>
      </vt:variant>
      <vt:variant>
        <vt:lpwstr>_Toc133844112</vt:lpwstr>
      </vt:variant>
      <vt:variant>
        <vt:i4>1638455</vt:i4>
      </vt:variant>
      <vt:variant>
        <vt:i4>8</vt:i4>
      </vt:variant>
      <vt:variant>
        <vt:i4>0</vt:i4>
      </vt:variant>
      <vt:variant>
        <vt:i4>5</vt:i4>
      </vt:variant>
      <vt:variant>
        <vt:lpwstr/>
      </vt:variant>
      <vt:variant>
        <vt:lpwstr>_Toc133844111</vt:lpwstr>
      </vt:variant>
      <vt:variant>
        <vt:i4>1638455</vt:i4>
      </vt:variant>
      <vt:variant>
        <vt:i4>2</vt:i4>
      </vt:variant>
      <vt:variant>
        <vt:i4>0</vt:i4>
      </vt:variant>
      <vt:variant>
        <vt:i4>5</vt:i4>
      </vt:variant>
      <vt:variant>
        <vt:lpwstr/>
      </vt:variant>
      <vt:variant>
        <vt:lpwstr>_Toc133844110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SRAS ITT 2018</dc:title>
  <dc:subject/>
  <dc:creator>kp</dc:creator>
  <cp:keywords/>
  <dc:description/>
  <cp:lastModifiedBy>Ben Macey</cp:lastModifiedBy>
  <cp:revision>69</cp:revision>
  <cp:lastPrinted>2017-12-20T14:59:00Z</cp:lastPrinted>
  <dcterms:created xsi:type="dcterms:W3CDTF">2023-04-11T22:11:00Z</dcterms:created>
  <dcterms:modified xsi:type="dcterms:W3CDTF">2023-05-02T23:36:00Z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082cfc8f-8e6a-4881-bdef-71d382bf5b68</vt:lpwstr>
  </property>
  <property fmtid="{D5CDD505-2E9C-101B-9397-08002B2CF9AE}" pid="3" name="ContentTypeId">
    <vt:lpwstr>0x0101003B610B51EE56B746BEB4C69AC27CDC0F</vt:lpwstr>
  </property>
  <property fmtid="{D5CDD505-2E9C-101B-9397-08002B2CF9AE}" pid="4" name="AEMODocumentType">
    <vt:lpwstr>13;#Policies and Procedures|35068210-b48f-4046-9f07-b4a9fb08589f</vt:lpwstr>
  </property>
  <property fmtid="{D5CDD505-2E9C-101B-9397-08002B2CF9AE}" pid="5" name="AEMOKeywords">
    <vt:lpwstr/>
  </property>
  <property fmtid="{D5CDD505-2E9C-101B-9397-08002B2CF9AE}" pid="6" name="Order">
    <vt:r8>6500</vt:r8>
  </property>
  <property fmtid="{D5CDD505-2E9C-101B-9397-08002B2CF9AE}" pid="7" name="GrammarlyDocumentId">
    <vt:lpwstr>c2d87f95543eb09d6d3ee05bc3db86bff9f775a82466bcafbf30b7480616e78e</vt:lpwstr>
  </property>
</Properties>
</file>