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AF1CF" w14:textId="3A75BF9C" w:rsidR="00CA3475" w:rsidRDefault="005E6297" w:rsidP="005C23A0">
      <w:pPr>
        <w:pStyle w:val="Heading1"/>
        <w:spacing w:line="360" w:lineRule="auto"/>
      </w:pPr>
      <w:r>
        <w:rPr>
          <w:rStyle w:val="Strong"/>
        </w:rPr>
        <w:t xml:space="preserve">STTM Participant - </w:t>
      </w:r>
      <w:r w:rsidR="00E63D21" w:rsidRPr="004F3291">
        <w:rPr>
          <w:rStyle w:val="Strong"/>
        </w:rPr>
        <w:t xml:space="preserve">Applicant </w:t>
      </w:r>
      <w:r w:rsidR="00D20C1F" w:rsidRPr="004F3291">
        <w:rPr>
          <w:rStyle w:val="Strong"/>
        </w:rPr>
        <w:t xml:space="preserve">Capability </w:t>
      </w:r>
      <w:r w:rsidR="00E63D21" w:rsidRPr="004F3291">
        <w:rPr>
          <w:rStyle w:val="Strong"/>
        </w:rPr>
        <w:t>Declaration</w:t>
      </w:r>
    </w:p>
    <w:tbl>
      <w:tblPr>
        <w:tblStyle w:val="GridTable4"/>
        <w:tblW w:w="0" w:type="auto"/>
        <w:tblLook w:val="0680" w:firstRow="0" w:lastRow="0" w:firstColumn="1" w:lastColumn="0" w:noHBand="1" w:noVBand="1"/>
      </w:tblPr>
      <w:tblGrid>
        <w:gridCol w:w="1838"/>
        <w:gridCol w:w="7178"/>
      </w:tblGrid>
      <w:tr w:rsidR="00CA3475" w14:paraId="01F22DC1" w14:textId="77777777" w:rsidTr="005C2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9D9D9" w:themeFill="background1" w:themeFillShade="D9"/>
          </w:tcPr>
          <w:p w14:paraId="2239C4C5" w14:textId="4E484FC1" w:rsidR="00CA3475" w:rsidRPr="004F3291" w:rsidRDefault="00CA3475" w:rsidP="004F3291">
            <w:pPr>
              <w:spacing w:before="240" w:after="160"/>
              <w:rPr>
                <w:rStyle w:val="Strong"/>
              </w:rPr>
            </w:pPr>
            <w:r w:rsidRPr="004F3291">
              <w:rPr>
                <w:rStyle w:val="Strong"/>
              </w:rPr>
              <w:t>Applicant Name:</w:t>
            </w:r>
          </w:p>
        </w:tc>
        <w:tc>
          <w:tcPr>
            <w:tcW w:w="7178" w:type="dxa"/>
          </w:tcPr>
          <w:p w14:paraId="1D3E8146" w14:textId="39E4A13C" w:rsidR="00CA3475" w:rsidRDefault="00DF4741" w:rsidP="004F329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380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fldChar w:fldCharType="end"/>
            </w:r>
          </w:p>
        </w:tc>
      </w:tr>
      <w:tr w:rsidR="00CA3475" w14:paraId="4AADFE4F" w14:textId="77777777" w:rsidTr="005C2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9D9D9" w:themeFill="background1" w:themeFillShade="D9"/>
          </w:tcPr>
          <w:p w14:paraId="42D1F7FD" w14:textId="47288F95" w:rsidR="00CA3475" w:rsidRPr="004F3291" w:rsidRDefault="00CA3475" w:rsidP="004F3291">
            <w:pPr>
              <w:spacing w:before="240" w:after="160"/>
              <w:rPr>
                <w:rStyle w:val="Strong"/>
              </w:rPr>
            </w:pPr>
            <w:r w:rsidRPr="004F3291">
              <w:rPr>
                <w:rStyle w:val="Strong"/>
              </w:rPr>
              <w:t>Applicant ABN:</w:t>
            </w:r>
          </w:p>
        </w:tc>
        <w:tc>
          <w:tcPr>
            <w:tcW w:w="7178" w:type="dxa"/>
          </w:tcPr>
          <w:p w14:paraId="0C238B91" w14:textId="4BF625D6" w:rsidR="00CA3475" w:rsidRDefault="00DF4741" w:rsidP="004F329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380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fldChar w:fldCharType="end"/>
            </w:r>
          </w:p>
        </w:tc>
      </w:tr>
      <w:tr w:rsidR="00CA3475" w14:paraId="6B4213CB" w14:textId="77777777" w:rsidTr="005C2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9D9D9" w:themeFill="background1" w:themeFillShade="D9"/>
          </w:tcPr>
          <w:p w14:paraId="1002053A" w14:textId="4FEF616F" w:rsidR="00CA3475" w:rsidRPr="004F3291" w:rsidRDefault="001A71B8" w:rsidP="004F3291">
            <w:pPr>
              <w:spacing w:before="240" w:after="160"/>
              <w:rPr>
                <w:rStyle w:val="Strong"/>
              </w:rPr>
            </w:pPr>
            <w:r>
              <w:rPr>
                <w:rStyle w:val="Strong"/>
              </w:rPr>
              <w:t>Role Type</w:t>
            </w:r>
            <w:r w:rsidR="00E03A5C">
              <w:rPr>
                <w:rStyle w:val="Strong"/>
              </w:rPr>
              <w:t>(s)</w:t>
            </w:r>
            <w:r w:rsidR="00CA3475" w:rsidRPr="004F3291">
              <w:rPr>
                <w:rStyle w:val="Strong"/>
              </w:rPr>
              <w:t>:</w:t>
            </w:r>
          </w:p>
        </w:tc>
        <w:tc>
          <w:tcPr>
            <w:tcW w:w="7178" w:type="dxa"/>
          </w:tcPr>
          <w:p w14:paraId="388F4475" w14:textId="28CC8462" w:rsidR="00CA3475" w:rsidRDefault="00094930" w:rsidP="004F329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380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fldChar w:fldCharType="end"/>
            </w:r>
          </w:p>
        </w:tc>
      </w:tr>
    </w:tbl>
    <w:p w14:paraId="32C28959" w14:textId="7D97714C" w:rsidR="004D6ED7" w:rsidRPr="005C23A0" w:rsidRDefault="00D404BE">
      <w:pPr>
        <w:rPr>
          <w:sz w:val="20"/>
          <w:szCs w:val="20"/>
        </w:rPr>
      </w:pPr>
      <w:r w:rsidRPr="005C23A0">
        <w:rPr>
          <w:sz w:val="20"/>
          <w:szCs w:val="20"/>
        </w:rPr>
        <w:t>As a duly authorised representative</w:t>
      </w:r>
      <w:r w:rsidR="004D6ED7" w:rsidRPr="005C23A0">
        <w:rPr>
          <w:sz w:val="20"/>
          <w:szCs w:val="20"/>
        </w:rPr>
        <w:t xml:space="preserve"> of the Applicant</w:t>
      </w:r>
      <w:r w:rsidRPr="005C23A0">
        <w:rPr>
          <w:sz w:val="20"/>
          <w:szCs w:val="20"/>
        </w:rPr>
        <w:t xml:space="preserve">, </w:t>
      </w:r>
      <w:r w:rsidR="004D6ED7" w:rsidRPr="005C23A0">
        <w:rPr>
          <w:sz w:val="20"/>
          <w:szCs w:val="20"/>
        </w:rPr>
        <w:t>I acknowledge that I have read and understand the following statements:</w:t>
      </w:r>
    </w:p>
    <w:p w14:paraId="258A3DDB" w14:textId="551529C9" w:rsidR="004D6ED7" w:rsidRPr="000B1950" w:rsidRDefault="00483D02" w:rsidP="00380008">
      <w:pPr>
        <w:pStyle w:val="ListParagraph"/>
        <w:numPr>
          <w:ilvl w:val="0"/>
          <w:numId w:val="2"/>
        </w:numPr>
        <w:spacing w:after="120"/>
        <w:ind w:left="425" w:hanging="425"/>
        <w:contextualSpacing w:val="0"/>
      </w:pPr>
      <w:r w:rsidRPr="005C23A0">
        <w:rPr>
          <w:sz w:val="20"/>
          <w:szCs w:val="20"/>
        </w:rPr>
        <w:t>AEMO relies on timely and accurate information and responses from all Registered P</w:t>
      </w:r>
      <w:r w:rsidR="00A70EC1" w:rsidRPr="005C23A0">
        <w:rPr>
          <w:sz w:val="20"/>
          <w:szCs w:val="20"/>
        </w:rPr>
        <w:t xml:space="preserve">articipants in line with their </w:t>
      </w:r>
      <w:r w:rsidRPr="005C23A0">
        <w:rPr>
          <w:sz w:val="20"/>
          <w:szCs w:val="20"/>
        </w:rPr>
        <w:t>obligations</w:t>
      </w:r>
      <w:r w:rsidR="00F0603E">
        <w:rPr>
          <w:sz w:val="20"/>
          <w:szCs w:val="20"/>
        </w:rPr>
        <w:t xml:space="preserve"> </w:t>
      </w:r>
      <w:r w:rsidR="00CD4F39">
        <w:rPr>
          <w:sz w:val="20"/>
          <w:szCs w:val="20"/>
        </w:rPr>
        <w:t xml:space="preserve">under </w:t>
      </w:r>
      <w:r w:rsidR="002309A9">
        <w:rPr>
          <w:sz w:val="20"/>
          <w:szCs w:val="20"/>
        </w:rPr>
        <w:t xml:space="preserve">the National </w:t>
      </w:r>
      <w:r w:rsidR="00344E70">
        <w:rPr>
          <w:sz w:val="20"/>
          <w:szCs w:val="20"/>
        </w:rPr>
        <w:t xml:space="preserve">Gas </w:t>
      </w:r>
      <w:r w:rsidR="002309A9">
        <w:rPr>
          <w:sz w:val="20"/>
          <w:szCs w:val="20"/>
        </w:rPr>
        <w:t>Rules (</w:t>
      </w:r>
      <w:r w:rsidR="00344E70">
        <w:rPr>
          <w:sz w:val="20"/>
          <w:szCs w:val="20"/>
        </w:rPr>
        <w:t>NGR</w:t>
      </w:r>
      <w:r w:rsidR="002309A9">
        <w:rPr>
          <w:sz w:val="20"/>
          <w:szCs w:val="20"/>
        </w:rPr>
        <w:t>)</w:t>
      </w:r>
      <w:r w:rsidRPr="005C23A0">
        <w:rPr>
          <w:sz w:val="20"/>
          <w:szCs w:val="20"/>
        </w:rPr>
        <w:t xml:space="preserve">. </w:t>
      </w:r>
      <w:r w:rsidRPr="000B1950">
        <w:rPr>
          <w:sz w:val="20"/>
          <w:szCs w:val="20"/>
        </w:rPr>
        <w:t xml:space="preserve">Failure to do this can cause </w:t>
      </w:r>
      <w:r w:rsidR="00344E70">
        <w:rPr>
          <w:sz w:val="20"/>
          <w:szCs w:val="20"/>
        </w:rPr>
        <w:t xml:space="preserve">Wholesale and Retail market system issues that cause </w:t>
      </w:r>
      <w:r w:rsidRPr="000B1950">
        <w:rPr>
          <w:sz w:val="20"/>
          <w:szCs w:val="20"/>
        </w:rPr>
        <w:t xml:space="preserve">significant </w:t>
      </w:r>
      <w:r w:rsidR="00121E81" w:rsidRPr="000B1950">
        <w:rPr>
          <w:sz w:val="20"/>
          <w:szCs w:val="20"/>
        </w:rPr>
        <w:t>additional costs for the market.</w:t>
      </w:r>
      <w:r w:rsidR="00F0603E" w:rsidRPr="00F0603E">
        <w:rPr>
          <w:rStyle w:val="FootnoteReference"/>
          <w:sz w:val="20"/>
          <w:szCs w:val="20"/>
        </w:rPr>
        <w:t xml:space="preserve"> </w:t>
      </w:r>
    </w:p>
    <w:p w14:paraId="125DAC07" w14:textId="135C0644" w:rsidR="006A2C86" w:rsidRPr="000B1950" w:rsidRDefault="00121E81" w:rsidP="00380008">
      <w:pPr>
        <w:pStyle w:val="ListParagraph"/>
        <w:numPr>
          <w:ilvl w:val="0"/>
          <w:numId w:val="2"/>
        </w:numPr>
        <w:spacing w:after="120"/>
        <w:ind w:left="425" w:hanging="425"/>
        <w:contextualSpacing w:val="0"/>
      </w:pPr>
      <w:r w:rsidRPr="005C23A0">
        <w:rPr>
          <w:sz w:val="20"/>
          <w:szCs w:val="20"/>
        </w:rPr>
        <w:t xml:space="preserve">The Australian Energy Regulator (AER) monitors and enforces compliance with the </w:t>
      </w:r>
      <w:r w:rsidR="00344E70">
        <w:rPr>
          <w:sz w:val="20"/>
          <w:szCs w:val="20"/>
        </w:rPr>
        <w:t>NGR</w:t>
      </w:r>
      <w:r w:rsidR="00344E70" w:rsidRPr="005C23A0">
        <w:rPr>
          <w:sz w:val="20"/>
          <w:szCs w:val="20"/>
        </w:rPr>
        <w:t xml:space="preserve"> </w:t>
      </w:r>
      <w:r w:rsidRPr="005C23A0">
        <w:rPr>
          <w:sz w:val="20"/>
          <w:szCs w:val="20"/>
        </w:rPr>
        <w:t xml:space="preserve">and AEMO may report identified or suspected non-conformance to the AER. </w:t>
      </w:r>
    </w:p>
    <w:p w14:paraId="34691380" w14:textId="08ADE9DB" w:rsidR="00E63D21" w:rsidRPr="005C23A0" w:rsidRDefault="00CD4F39" w:rsidP="00380008">
      <w:pPr>
        <w:pStyle w:val="ListParagraph"/>
        <w:numPr>
          <w:ilvl w:val="0"/>
          <w:numId w:val="2"/>
        </w:numPr>
        <w:spacing w:after="120"/>
        <w:ind w:left="425" w:hanging="425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As examples, some of the </w:t>
      </w:r>
      <w:r w:rsidR="006A2C86" w:rsidRPr="005C23A0">
        <w:rPr>
          <w:sz w:val="20"/>
          <w:szCs w:val="20"/>
        </w:rPr>
        <w:t xml:space="preserve">capabilities </w:t>
      </w:r>
      <w:r w:rsidR="00CF0D46" w:rsidRPr="005C23A0">
        <w:rPr>
          <w:sz w:val="20"/>
          <w:szCs w:val="20"/>
        </w:rPr>
        <w:t xml:space="preserve">required for </w:t>
      </w:r>
      <w:r w:rsidR="00344E70">
        <w:rPr>
          <w:sz w:val="20"/>
          <w:szCs w:val="20"/>
        </w:rPr>
        <w:t>STTM participants</w:t>
      </w:r>
      <w:r w:rsidR="00344E70">
        <w:rPr>
          <w:rStyle w:val="FootnoteReference"/>
          <w:sz w:val="20"/>
          <w:szCs w:val="20"/>
        </w:rPr>
        <w:footnoteReference w:id="1"/>
      </w:r>
      <w:r w:rsidR="00CF0D46" w:rsidRPr="005C23A0">
        <w:rPr>
          <w:sz w:val="20"/>
          <w:szCs w:val="20"/>
        </w:rPr>
        <w:t xml:space="preserve"> to meet their</w:t>
      </w:r>
      <w:r w:rsidR="006A2C86" w:rsidRPr="005C23A0">
        <w:rPr>
          <w:sz w:val="20"/>
          <w:szCs w:val="20"/>
        </w:rPr>
        <w:t xml:space="preserve"> </w:t>
      </w:r>
      <w:r w:rsidR="00344E70">
        <w:rPr>
          <w:sz w:val="20"/>
          <w:szCs w:val="20"/>
        </w:rPr>
        <w:t>NGR</w:t>
      </w:r>
      <w:r w:rsidR="00344E70" w:rsidRPr="005C23A0">
        <w:rPr>
          <w:sz w:val="20"/>
          <w:szCs w:val="20"/>
        </w:rPr>
        <w:t xml:space="preserve"> </w:t>
      </w:r>
      <w:r w:rsidR="006A2C86" w:rsidRPr="005C23A0">
        <w:rPr>
          <w:sz w:val="20"/>
          <w:szCs w:val="20"/>
        </w:rPr>
        <w:t>obligations</w:t>
      </w:r>
      <w:r w:rsidR="00757478">
        <w:rPr>
          <w:sz w:val="20"/>
          <w:szCs w:val="20"/>
        </w:rPr>
        <w:t>, includ</w:t>
      </w:r>
      <w:r w:rsidR="008D3F29">
        <w:rPr>
          <w:sz w:val="20"/>
          <w:szCs w:val="20"/>
        </w:rPr>
        <w:t>e</w:t>
      </w:r>
      <w:r w:rsidR="000304EB">
        <w:rPr>
          <w:sz w:val="20"/>
          <w:szCs w:val="20"/>
        </w:rPr>
        <w:t>:</w:t>
      </w:r>
    </w:p>
    <w:p w14:paraId="6AED5237" w14:textId="627E708A" w:rsidR="000304EB" w:rsidRDefault="000304EB" w:rsidP="00380008">
      <w:pPr>
        <w:pStyle w:val="ListParagraph"/>
        <w:numPr>
          <w:ilvl w:val="0"/>
          <w:numId w:val="1"/>
        </w:numPr>
        <w:spacing w:after="120"/>
        <w:ind w:hanging="294"/>
        <w:rPr>
          <w:sz w:val="20"/>
          <w:szCs w:val="20"/>
        </w:rPr>
      </w:pPr>
      <w:bookmarkStart w:id="0" w:name="_Hlk525650502"/>
      <w:bookmarkStart w:id="1" w:name="_Hlk524516164"/>
      <w:r>
        <w:rPr>
          <w:sz w:val="20"/>
          <w:szCs w:val="20"/>
        </w:rPr>
        <w:t xml:space="preserve">Understanding </w:t>
      </w:r>
      <w:r w:rsidR="00AB2D19">
        <w:rPr>
          <w:sz w:val="20"/>
          <w:szCs w:val="20"/>
        </w:rPr>
        <w:t>obligations</w:t>
      </w:r>
      <w:r w:rsidR="00AB2D19" w:rsidRPr="005C23A0">
        <w:rPr>
          <w:sz w:val="20"/>
          <w:szCs w:val="20"/>
        </w:rPr>
        <w:t xml:space="preserve"> </w:t>
      </w:r>
      <w:r>
        <w:rPr>
          <w:sz w:val="20"/>
          <w:szCs w:val="20"/>
        </w:rPr>
        <w:t>including:</w:t>
      </w:r>
    </w:p>
    <w:p w14:paraId="0CD31B92" w14:textId="7D4690FE" w:rsidR="00757478" w:rsidRDefault="003A39E4" w:rsidP="00380008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ex ante </w:t>
      </w:r>
      <w:r w:rsidR="00344E70">
        <w:rPr>
          <w:sz w:val="20"/>
          <w:szCs w:val="20"/>
        </w:rPr>
        <w:t xml:space="preserve">offers, </w:t>
      </w:r>
      <w:r>
        <w:rPr>
          <w:sz w:val="20"/>
          <w:szCs w:val="20"/>
        </w:rPr>
        <w:t xml:space="preserve">ex ante </w:t>
      </w:r>
      <w:r w:rsidR="00344E70">
        <w:rPr>
          <w:sz w:val="20"/>
          <w:szCs w:val="20"/>
        </w:rPr>
        <w:t xml:space="preserve">bids and </w:t>
      </w:r>
      <w:proofErr w:type="spellStart"/>
      <w:r w:rsidR="00344E70">
        <w:rPr>
          <w:sz w:val="20"/>
          <w:szCs w:val="20"/>
        </w:rPr>
        <w:t>pricetaker</w:t>
      </w:r>
      <w:proofErr w:type="spellEnd"/>
      <w:r w:rsidR="00344E70">
        <w:rPr>
          <w:sz w:val="20"/>
          <w:szCs w:val="20"/>
        </w:rPr>
        <w:t xml:space="preserve"> bids</w:t>
      </w:r>
      <w:r w:rsidR="00757478">
        <w:rPr>
          <w:sz w:val="20"/>
          <w:szCs w:val="20"/>
        </w:rPr>
        <w:t xml:space="preserve"> </w:t>
      </w:r>
      <w:r w:rsidR="00E17300">
        <w:rPr>
          <w:sz w:val="20"/>
          <w:szCs w:val="20"/>
        </w:rPr>
        <w:t>must</w:t>
      </w:r>
      <w:r w:rsidR="00757478">
        <w:rPr>
          <w:sz w:val="20"/>
          <w:szCs w:val="20"/>
        </w:rPr>
        <w:t xml:space="preserve"> be made in good faith</w:t>
      </w:r>
      <w:r>
        <w:rPr>
          <w:sz w:val="20"/>
          <w:szCs w:val="20"/>
        </w:rPr>
        <w:t xml:space="preserve"> and</w:t>
      </w:r>
      <w:r w:rsidR="00757478">
        <w:rPr>
          <w:sz w:val="20"/>
          <w:szCs w:val="20"/>
        </w:rPr>
        <w:t xml:space="preserve">, under NGR 413, </w:t>
      </w:r>
      <w:r w:rsidRPr="003A39E4">
        <w:rPr>
          <w:sz w:val="20"/>
          <w:szCs w:val="20"/>
        </w:rPr>
        <w:t xml:space="preserve">an </w:t>
      </w:r>
      <w:proofErr w:type="spellStart"/>
      <w:r w:rsidRPr="003A39E4">
        <w:rPr>
          <w:sz w:val="20"/>
          <w:szCs w:val="20"/>
        </w:rPr>
        <w:t>ex ante</w:t>
      </w:r>
      <w:proofErr w:type="spellEnd"/>
      <w:r w:rsidRPr="003A39E4">
        <w:rPr>
          <w:sz w:val="20"/>
          <w:szCs w:val="20"/>
        </w:rPr>
        <w:t xml:space="preserve"> offer, ex ante bid or price taker bid is submitted in good faith if, at the time of submission</w:t>
      </w:r>
      <w:r>
        <w:rPr>
          <w:sz w:val="20"/>
          <w:szCs w:val="20"/>
        </w:rPr>
        <w:t xml:space="preserve">, </w:t>
      </w:r>
      <w:r w:rsidR="00757478">
        <w:rPr>
          <w:sz w:val="20"/>
          <w:szCs w:val="20"/>
        </w:rPr>
        <w:t>the Trading Participant has a genuine intention to supply or withdraw the specified quantity of natural gas if scheduled by AEMO</w:t>
      </w:r>
      <w:r w:rsidR="00531835">
        <w:rPr>
          <w:sz w:val="20"/>
          <w:szCs w:val="20"/>
        </w:rPr>
        <w:t xml:space="preserve"> </w:t>
      </w:r>
      <w:r w:rsidR="00531835" w:rsidRPr="00531835">
        <w:rPr>
          <w:sz w:val="20"/>
          <w:szCs w:val="20"/>
        </w:rPr>
        <w:t>and if the material conditions and circumstances on which the relevant offer or bid is based remain unchanged</w:t>
      </w:r>
      <w:r w:rsidR="00757478">
        <w:rPr>
          <w:sz w:val="20"/>
          <w:szCs w:val="20"/>
        </w:rPr>
        <w:t>.</w:t>
      </w:r>
      <w:r w:rsidR="00344E70">
        <w:rPr>
          <w:sz w:val="20"/>
          <w:szCs w:val="20"/>
        </w:rPr>
        <w:t xml:space="preserve"> </w:t>
      </w:r>
    </w:p>
    <w:p w14:paraId="34DE5BF9" w14:textId="1A3E557B" w:rsidR="00B80C89" w:rsidRDefault="00B80C89" w:rsidP="00380008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A STTM Shipper must not submit a MOS offer unless it meets the requirements of NGR</w:t>
      </w:r>
      <w:r w:rsidR="00E17300">
        <w:rPr>
          <w:sz w:val="20"/>
          <w:szCs w:val="20"/>
        </w:rPr>
        <w:t xml:space="preserve"> </w:t>
      </w:r>
      <w:r>
        <w:rPr>
          <w:sz w:val="20"/>
          <w:szCs w:val="20"/>
        </w:rPr>
        <w:t>399 to supply that MOS offer for the entire MOS period.</w:t>
      </w:r>
    </w:p>
    <w:p w14:paraId="52705478" w14:textId="17354967" w:rsidR="00802834" w:rsidRPr="00802834" w:rsidRDefault="00E17300" w:rsidP="00E17300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A</w:t>
      </w:r>
      <w:r w:rsidR="00802834">
        <w:rPr>
          <w:sz w:val="20"/>
          <w:szCs w:val="20"/>
        </w:rPr>
        <w:t xml:space="preserve"> STTM Shipper, or other person,</w:t>
      </w:r>
      <w:r w:rsidR="00802834" w:rsidRPr="00802834">
        <w:rPr>
          <w:sz w:val="20"/>
          <w:szCs w:val="20"/>
        </w:rPr>
        <w:t xml:space="preserve"> must not, under NGR</w:t>
      </w:r>
      <w:r>
        <w:rPr>
          <w:sz w:val="20"/>
          <w:szCs w:val="20"/>
        </w:rPr>
        <w:t xml:space="preserve"> </w:t>
      </w:r>
      <w:r w:rsidR="00802834" w:rsidRPr="00802834">
        <w:rPr>
          <w:sz w:val="20"/>
          <w:szCs w:val="20"/>
        </w:rPr>
        <w:t>399(6), undertake an action for the purpose, or primary purpose, of creating or increasing a pipeline deviation</w:t>
      </w:r>
      <w:r w:rsidR="00802834">
        <w:rPr>
          <w:sz w:val="20"/>
          <w:szCs w:val="20"/>
        </w:rPr>
        <w:t xml:space="preserve"> </w:t>
      </w:r>
      <w:r w:rsidR="00802834" w:rsidRPr="00802834">
        <w:rPr>
          <w:sz w:val="20"/>
          <w:szCs w:val="20"/>
        </w:rPr>
        <w:t>for which MOS may be required.</w:t>
      </w:r>
    </w:p>
    <w:p w14:paraId="299C8B7B" w14:textId="2748D836" w:rsidR="00757478" w:rsidRDefault="00E17300" w:rsidP="00380008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C</w:t>
      </w:r>
      <w:r w:rsidR="0066768C">
        <w:rPr>
          <w:sz w:val="20"/>
          <w:szCs w:val="20"/>
        </w:rPr>
        <w:t>ontingency gas</w:t>
      </w:r>
      <w:r w:rsidR="00757478">
        <w:rPr>
          <w:sz w:val="20"/>
          <w:szCs w:val="20"/>
        </w:rPr>
        <w:t xml:space="preserve"> bids and offers</w:t>
      </w:r>
      <w:r w:rsidR="00802834">
        <w:rPr>
          <w:sz w:val="20"/>
          <w:szCs w:val="20"/>
        </w:rPr>
        <w:t xml:space="preserve"> </w:t>
      </w:r>
      <w:r>
        <w:rPr>
          <w:sz w:val="20"/>
          <w:szCs w:val="20"/>
        </w:rPr>
        <w:t>must</w:t>
      </w:r>
      <w:r w:rsidR="00802834">
        <w:rPr>
          <w:sz w:val="20"/>
          <w:szCs w:val="20"/>
        </w:rPr>
        <w:t xml:space="preserve"> be made in good faith</w:t>
      </w:r>
      <w:r>
        <w:rPr>
          <w:sz w:val="20"/>
          <w:szCs w:val="20"/>
        </w:rPr>
        <w:t xml:space="preserve"> and</w:t>
      </w:r>
      <w:r w:rsidR="00802834">
        <w:rPr>
          <w:sz w:val="20"/>
          <w:szCs w:val="20"/>
        </w:rPr>
        <w:t xml:space="preserve">, under NGR439, </w:t>
      </w:r>
      <w:r w:rsidRPr="00E17300">
        <w:rPr>
          <w:sz w:val="20"/>
          <w:szCs w:val="20"/>
        </w:rPr>
        <w:t>a contingency gas offer or contingency gas bid is submitted, confirmed or revised in good faith</w:t>
      </w:r>
      <w:r>
        <w:rPr>
          <w:sz w:val="20"/>
          <w:szCs w:val="20"/>
        </w:rPr>
        <w:t xml:space="preserve"> </w:t>
      </w:r>
      <w:r w:rsidR="00802834">
        <w:rPr>
          <w:sz w:val="20"/>
          <w:szCs w:val="20"/>
        </w:rPr>
        <w:t>if at the time of submission the Trading Participant had the intention to provide the specified quantity of contingency gas</w:t>
      </w:r>
      <w:r>
        <w:rPr>
          <w:sz w:val="20"/>
          <w:szCs w:val="20"/>
        </w:rPr>
        <w:t xml:space="preserve"> if scheduled by AEMO </w:t>
      </w:r>
      <w:r w:rsidRPr="00E17300">
        <w:rPr>
          <w:sz w:val="20"/>
          <w:szCs w:val="20"/>
        </w:rPr>
        <w:t>and if the material conditions and circumstances on which the contingency gas offer or contingency gas bid is based remain unchanged</w:t>
      </w:r>
      <w:r w:rsidR="00802834">
        <w:rPr>
          <w:sz w:val="20"/>
          <w:szCs w:val="20"/>
        </w:rPr>
        <w:t xml:space="preserve">. </w:t>
      </w:r>
    </w:p>
    <w:p w14:paraId="487387DB" w14:textId="6573A63F" w:rsidR="00DB3580" w:rsidRDefault="00DB3580" w:rsidP="00380008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 w:rsidRPr="00DB3580">
        <w:rPr>
          <w:sz w:val="20"/>
          <w:szCs w:val="20"/>
        </w:rPr>
        <w:t xml:space="preserve">Each STTM facility operator or contract holder who appoints an allocation agent for the purposes of Part </w:t>
      </w:r>
      <w:r>
        <w:rPr>
          <w:sz w:val="20"/>
          <w:szCs w:val="20"/>
        </w:rPr>
        <w:t xml:space="preserve">20 </w:t>
      </w:r>
      <w:r w:rsidR="000B1F82">
        <w:rPr>
          <w:sz w:val="20"/>
          <w:szCs w:val="20"/>
        </w:rPr>
        <w:t xml:space="preserve">of the NGR </w:t>
      </w:r>
      <w:r w:rsidRPr="00DB3580">
        <w:rPr>
          <w:sz w:val="20"/>
          <w:szCs w:val="20"/>
        </w:rPr>
        <w:t>must ensure that the allocation agent comp</w:t>
      </w:r>
      <w:r>
        <w:rPr>
          <w:sz w:val="20"/>
          <w:szCs w:val="20"/>
        </w:rPr>
        <w:t xml:space="preserve">lies with its obligations under </w:t>
      </w:r>
      <w:r w:rsidRPr="00DB3580">
        <w:rPr>
          <w:sz w:val="20"/>
          <w:szCs w:val="20"/>
        </w:rPr>
        <w:t xml:space="preserve">Part </w:t>
      </w:r>
      <w:r>
        <w:rPr>
          <w:sz w:val="20"/>
          <w:szCs w:val="20"/>
        </w:rPr>
        <w:t xml:space="preserve">20 </w:t>
      </w:r>
      <w:r w:rsidRPr="00DB3580">
        <w:rPr>
          <w:sz w:val="20"/>
          <w:szCs w:val="20"/>
        </w:rPr>
        <w:t>for the term of that appointment</w:t>
      </w:r>
      <w:r>
        <w:rPr>
          <w:sz w:val="20"/>
          <w:szCs w:val="20"/>
        </w:rPr>
        <w:t>.</w:t>
      </w:r>
    </w:p>
    <w:p w14:paraId="6649F81D" w14:textId="56B9E5B1" w:rsidR="00CF0D46" w:rsidRPr="005C23A0" w:rsidRDefault="00B80C89" w:rsidP="00380008">
      <w:pPr>
        <w:pStyle w:val="ListParagraph"/>
        <w:numPr>
          <w:ilvl w:val="0"/>
          <w:numId w:val="1"/>
        </w:numPr>
        <w:spacing w:after="120"/>
        <w:ind w:hanging="294"/>
        <w:rPr>
          <w:sz w:val="20"/>
          <w:szCs w:val="20"/>
        </w:rPr>
      </w:pPr>
      <w:r>
        <w:rPr>
          <w:sz w:val="20"/>
          <w:szCs w:val="20"/>
        </w:rPr>
        <w:t xml:space="preserve">Understanding the operation of </w:t>
      </w:r>
      <w:r w:rsidR="00344E70">
        <w:rPr>
          <w:sz w:val="20"/>
          <w:szCs w:val="20"/>
        </w:rPr>
        <w:t xml:space="preserve">market </w:t>
      </w:r>
      <w:r w:rsidR="00CF0D46" w:rsidRPr="005C23A0">
        <w:rPr>
          <w:sz w:val="20"/>
          <w:szCs w:val="20"/>
        </w:rPr>
        <w:t>systems, including:</w:t>
      </w:r>
    </w:p>
    <w:p w14:paraId="62E6BD1B" w14:textId="478E5418" w:rsidR="00B76DF4" w:rsidRPr="005C23A0" w:rsidRDefault="00B80C89" w:rsidP="00380008">
      <w:pPr>
        <w:pStyle w:val="ListParagraph"/>
        <w:numPr>
          <w:ilvl w:val="1"/>
          <w:numId w:val="1"/>
        </w:numPr>
        <w:spacing w:after="120"/>
        <w:ind w:left="1276" w:hanging="425"/>
        <w:rPr>
          <w:sz w:val="20"/>
          <w:szCs w:val="20"/>
        </w:rPr>
      </w:pPr>
      <w:r>
        <w:rPr>
          <w:sz w:val="20"/>
          <w:szCs w:val="20"/>
        </w:rPr>
        <w:t xml:space="preserve">The operation of the </w:t>
      </w:r>
      <w:r w:rsidR="00344E70">
        <w:rPr>
          <w:sz w:val="20"/>
          <w:szCs w:val="20"/>
        </w:rPr>
        <w:t xml:space="preserve">STTM </w:t>
      </w:r>
      <w:proofErr w:type="spellStart"/>
      <w:r w:rsidR="00344E70">
        <w:rPr>
          <w:sz w:val="20"/>
          <w:szCs w:val="20"/>
        </w:rPr>
        <w:t>Webexchanger</w:t>
      </w:r>
      <w:proofErr w:type="spellEnd"/>
      <w:r>
        <w:rPr>
          <w:sz w:val="20"/>
          <w:szCs w:val="20"/>
        </w:rPr>
        <w:t xml:space="preserve"> (SWEX) and SWEXIE ftp file service</w:t>
      </w:r>
      <w:r w:rsidR="00E84F0F">
        <w:rPr>
          <w:sz w:val="20"/>
          <w:szCs w:val="20"/>
        </w:rPr>
        <w:t>.</w:t>
      </w:r>
    </w:p>
    <w:p w14:paraId="58B5F93B" w14:textId="4AA5D9F4" w:rsidR="00CF0D46" w:rsidRPr="005C23A0" w:rsidRDefault="00344E70" w:rsidP="00380008">
      <w:pPr>
        <w:pStyle w:val="ListParagraph"/>
        <w:numPr>
          <w:ilvl w:val="1"/>
          <w:numId w:val="1"/>
        </w:numPr>
        <w:spacing w:after="120"/>
        <w:ind w:left="1276" w:hanging="425"/>
        <w:rPr>
          <w:sz w:val="20"/>
          <w:szCs w:val="20"/>
        </w:rPr>
      </w:pPr>
      <w:r>
        <w:rPr>
          <w:sz w:val="20"/>
          <w:szCs w:val="20"/>
        </w:rPr>
        <w:t>Market Information System</w:t>
      </w:r>
      <w:r w:rsidR="00B80C89">
        <w:rPr>
          <w:sz w:val="20"/>
          <w:szCs w:val="20"/>
        </w:rPr>
        <w:t xml:space="preserve"> (MIS)</w:t>
      </w:r>
      <w:r>
        <w:rPr>
          <w:sz w:val="20"/>
          <w:szCs w:val="20"/>
        </w:rPr>
        <w:t xml:space="preserve"> (and reports published therein)</w:t>
      </w:r>
      <w:r w:rsidR="00E84F0F">
        <w:rPr>
          <w:sz w:val="20"/>
          <w:szCs w:val="20"/>
        </w:rPr>
        <w:t>.</w:t>
      </w:r>
    </w:p>
    <w:p w14:paraId="5C2B6BD1" w14:textId="309B5993" w:rsidR="007E0E64" w:rsidRPr="005C23A0" w:rsidRDefault="00A3050F" w:rsidP="00380008">
      <w:pPr>
        <w:pStyle w:val="ListParagraph"/>
        <w:numPr>
          <w:ilvl w:val="1"/>
          <w:numId w:val="1"/>
        </w:numPr>
        <w:spacing w:after="120"/>
        <w:ind w:left="1276" w:hanging="425"/>
        <w:rPr>
          <w:sz w:val="20"/>
          <w:szCs w:val="20"/>
        </w:rPr>
      </w:pPr>
      <w:r>
        <w:rPr>
          <w:sz w:val="20"/>
          <w:szCs w:val="20"/>
        </w:rPr>
        <w:t>M</w:t>
      </w:r>
      <w:r w:rsidR="0077063A" w:rsidRPr="005C23A0">
        <w:rPr>
          <w:sz w:val="20"/>
          <w:szCs w:val="20"/>
        </w:rPr>
        <w:t xml:space="preserve">anaging </w:t>
      </w:r>
      <w:r w:rsidR="00344E70">
        <w:rPr>
          <w:sz w:val="20"/>
          <w:szCs w:val="20"/>
        </w:rPr>
        <w:t>nominations to the relevant facility operators</w:t>
      </w:r>
      <w:r w:rsidR="00C44BE7" w:rsidRPr="005C23A0">
        <w:rPr>
          <w:sz w:val="20"/>
          <w:szCs w:val="20"/>
        </w:rPr>
        <w:t>, including:</w:t>
      </w:r>
    </w:p>
    <w:p w14:paraId="0122BAAB" w14:textId="351C2C69" w:rsidR="007E0E64" w:rsidRPr="005C23A0" w:rsidRDefault="0077063A" w:rsidP="00380008">
      <w:pPr>
        <w:pStyle w:val="ListParagraph"/>
        <w:numPr>
          <w:ilvl w:val="2"/>
          <w:numId w:val="1"/>
        </w:numPr>
        <w:spacing w:after="120"/>
        <w:ind w:left="1560" w:hanging="284"/>
        <w:rPr>
          <w:sz w:val="20"/>
          <w:szCs w:val="20"/>
        </w:rPr>
      </w:pPr>
      <w:r>
        <w:rPr>
          <w:sz w:val="20"/>
          <w:szCs w:val="20"/>
        </w:rPr>
        <w:t>s</w:t>
      </w:r>
      <w:r w:rsidRPr="005C23A0">
        <w:rPr>
          <w:sz w:val="20"/>
          <w:szCs w:val="20"/>
        </w:rPr>
        <w:t xml:space="preserve">ubmitting </w:t>
      </w:r>
      <w:r w:rsidR="00344E70">
        <w:rPr>
          <w:sz w:val="20"/>
          <w:szCs w:val="20"/>
        </w:rPr>
        <w:t>pipeline nominations and intraday renominations (if appropriate)</w:t>
      </w:r>
      <w:r w:rsidR="00E84F0F">
        <w:rPr>
          <w:sz w:val="20"/>
          <w:szCs w:val="20"/>
        </w:rPr>
        <w:t>.</w:t>
      </w:r>
    </w:p>
    <w:p w14:paraId="6E37218B" w14:textId="5210318B" w:rsidR="00B76DF4" w:rsidRPr="005C23A0" w:rsidRDefault="00344E70" w:rsidP="00380008">
      <w:pPr>
        <w:pStyle w:val="ListParagraph"/>
        <w:numPr>
          <w:ilvl w:val="2"/>
          <w:numId w:val="1"/>
        </w:numPr>
        <w:spacing w:after="120"/>
        <w:ind w:left="1560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submitting distributor nominations (if required). </w:t>
      </w:r>
    </w:p>
    <w:bookmarkEnd w:id="0"/>
    <w:p w14:paraId="00D163C6" w14:textId="52C81A98" w:rsidR="00AB7F6E" w:rsidRPr="004F3291" w:rsidRDefault="00380008" w:rsidP="00380008">
      <w:pPr>
        <w:pStyle w:val="ListParagraph"/>
        <w:numPr>
          <w:ilvl w:val="0"/>
          <w:numId w:val="1"/>
        </w:numPr>
        <w:spacing w:after="120"/>
        <w:ind w:hanging="294"/>
        <w:rPr>
          <w:sz w:val="20"/>
          <w:szCs w:val="20"/>
        </w:rPr>
      </w:pPr>
      <w:r>
        <w:rPr>
          <w:sz w:val="20"/>
          <w:szCs w:val="20"/>
        </w:rPr>
        <w:t xml:space="preserve">Understand how to </w:t>
      </w:r>
      <w:r w:rsidR="00344E70">
        <w:rPr>
          <w:sz w:val="20"/>
          <w:szCs w:val="20"/>
        </w:rPr>
        <w:t>communicat</w:t>
      </w:r>
      <w:r>
        <w:rPr>
          <w:sz w:val="20"/>
          <w:szCs w:val="20"/>
        </w:rPr>
        <w:t>e</w:t>
      </w:r>
      <w:r w:rsidR="00344E70">
        <w:rPr>
          <w:sz w:val="20"/>
          <w:szCs w:val="20"/>
        </w:rPr>
        <w:t xml:space="preserve"> to AEMO any Contingency Gas </w:t>
      </w:r>
      <w:r w:rsidR="0066768C">
        <w:rPr>
          <w:sz w:val="20"/>
          <w:szCs w:val="20"/>
        </w:rPr>
        <w:t>trigger</w:t>
      </w:r>
      <w:r w:rsidR="00344E70">
        <w:rPr>
          <w:sz w:val="20"/>
          <w:szCs w:val="20"/>
        </w:rPr>
        <w:t xml:space="preserve"> event</w:t>
      </w:r>
      <w:r>
        <w:rPr>
          <w:sz w:val="20"/>
          <w:szCs w:val="20"/>
        </w:rPr>
        <w:t xml:space="preserve"> (as per NGR</w:t>
      </w:r>
      <w:r w:rsidR="00A3050F">
        <w:rPr>
          <w:sz w:val="20"/>
          <w:szCs w:val="20"/>
        </w:rPr>
        <w:t xml:space="preserve"> </w:t>
      </w:r>
      <w:r>
        <w:rPr>
          <w:sz w:val="20"/>
          <w:szCs w:val="20"/>
        </w:rPr>
        <w:t>440(2))</w:t>
      </w:r>
      <w:r w:rsidR="00344E70">
        <w:rPr>
          <w:sz w:val="20"/>
          <w:szCs w:val="20"/>
        </w:rPr>
        <w:t xml:space="preserve"> or operational and technical constraints</w:t>
      </w:r>
      <w:r>
        <w:rPr>
          <w:sz w:val="20"/>
          <w:szCs w:val="20"/>
        </w:rPr>
        <w:t xml:space="preserve"> (as per STTM Procedures section 8.2</w:t>
      </w:r>
      <w:r w:rsidR="00E84F0F">
        <w:rPr>
          <w:sz w:val="20"/>
          <w:szCs w:val="20"/>
        </w:rPr>
        <w:t>.1</w:t>
      </w:r>
      <w:r>
        <w:rPr>
          <w:sz w:val="20"/>
          <w:szCs w:val="20"/>
        </w:rPr>
        <w:t>)</w:t>
      </w:r>
      <w:r w:rsidR="008C0A80">
        <w:rPr>
          <w:sz w:val="20"/>
          <w:szCs w:val="20"/>
        </w:rPr>
        <w:t xml:space="preserve"> </w:t>
      </w:r>
      <w:r w:rsidR="004B121C">
        <w:rPr>
          <w:sz w:val="20"/>
          <w:szCs w:val="20"/>
        </w:rPr>
        <w:t xml:space="preserve">and other circumstances that could affect </w:t>
      </w:r>
      <w:r w:rsidR="00344E70">
        <w:rPr>
          <w:sz w:val="20"/>
          <w:szCs w:val="20"/>
        </w:rPr>
        <w:t>operation of the market and impact the gas supply to the STTM hub(s)</w:t>
      </w:r>
      <w:r w:rsidR="00E84F0F">
        <w:rPr>
          <w:sz w:val="20"/>
          <w:szCs w:val="20"/>
        </w:rPr>
        <w:t>.</w:t>
      </w:r>
    </w:p>
    <w:p w14:paraId="7A0B413D" w14:textId="59D014EB" w:rsidR="00AB7F6E" w:rsidRPr="004F3291" w:rsidRDefault="00380008" w:rsidP="00380008">
      <w:pPr>
        <w:pStyle w:val="ListParagraph"/>
        <w:numPr>
          <w:ilvl w:val="0"/>
          <w:numId w:val="1"/>
        </w:numPr>
        <w:spacing w:after="120"/>
        <w:ind w:left="714" w:hanging="294"/>
        <w:contextualSpacing w:val="0"/>
        <w:rPr>
          <w:sz w:val="20"/>
          <w:szCs w:val="20"/>
        </w:rPr>
      </w:pPr>
      <w:r>
        <w:rPr>
          <w:sz w:val="20"/>
          <w:szCs w:val="20"/>
        </w:rPr>
        <w:t>U</w:t>
      </w:r>
      <w:r w:rsidR="008C0A80">
        <w:rPr>
          <w:sz w:val="20"/>
          <w:szCs w:val="20"/>
        </w:rPr>
        <w:t xml:space="preserve">nderstanding of </w:t>
      </w:r>
      <w:r w:rsidR="00AB7F6E" w:rsidRPr="004F3291">
        <w:rPr>
          <w:sz w:val="20"/>
          <w:szCs w:val="20"/>
        </w:rPr>
        <w:t>settlement</w:t>
      </w:r>
      <w:r w:rsidR="008C0A80">
        <w:rPr>
          <w:sz w:val="20"/>
          <w:szCs w:val="20"/>
        </w:rPr>
        <w:t>s</w:t>
      </w:r>
      <w:r w:rsidR="00AB7F6E" w:rsidRPr="004F3291">
        <w:rPr>
          <w:sz w:val="20"/>
          <w:szCs w:val="20"/>
        </w:rPr>
        <w:t xml:space="preserve"> </w:t>
      </w:r>
      <w:r w:rsidR="008C0A80">
        <w:rPr>
          <w:sz w:val="20"/>
          <w:szCs w:val="20"/>
        </w:rPr>
        <w:t xml:space="preserve">and prudential information and requirements within the settlement </w:t>
      </w:r>
      <w:r w:rsidR="00AB7F6E" w:rsidRPr="004F3291">
        <w:rPr>
          <w:sz w:val="20"/>
          <w:szCs w:val="20"/>
        </w:rPr>
        <w:t>timetable</w:t>
      </w:r>
      <w:bookmarkEnd w:id="1"/>
      <w:r w:rsidR="004D6ED7" w:rsidRPr="004F3291">
        <w:rPr>
          <w:sz w:val="20"/>
          <w:szCs w:val="20"/>
        </w:rPr>
        <w:t>.</w:t>
      </w:r>
    </w:p>
    <w:p w14:paraId="7144A84B" w14:textId="4F1CF9AB" w:rsidR="00A511AC" w:rsidRDefault="00A511AC" w:rsidP="00380008">
      <w:pPr>
        <w:pStyle w:val="ListParagraph"/>
        <w:numPr>
          <w:ilvl w:val="0"/>
          <w:numId w:val="2"/>
        </w:numPr>
        <w:spacing w:after="120"/>
        <w:ind w:left="426" w:hanging="426"/>
        <w:rPr>
          <w:sz w:val="20"/>
          <w:szCs w:val="20"/>
        </w:rPr>
      </w:pPr>
      <w:bookmarkStart w:id="2" w:name="_Hlk7529097"/>
      <w:r w:rsidRPr="00A511AC">
        <w:rPr>
          <w:sz w:val="20"/>
          <w:szCs w:val="20"/>
        </w:rPr>
        <w:t xml:space="preserve">The operation of the </w:t>
      </w:r>
      <w:r w:rsidR="00344E70">
        <w:rPr>
          <w:sz w:val="20"/>
          <w:szCs w:val="20"/>
        </w:rPr>
        <w:t xml:space="preserve">STTM </w:t>
      </w:r>
      <w:r w:rsidRPr="00A511AC">
        <w:rPr>
          <w:sz w:val="20"/>
          <w:szCs w:val="20"/>
        </w:rPr>
        <w:t xml:space="preserve">requires participants to have robust communication mechanisms and operational </w:t>
      </w:r>
      <w:r w:rsidR="00CD4F39">
        <w:rPr>
          <w:sz w:val="20"/>
          <w:szCs w:val="20"/>
        </w:rPr>
        <w:t xml:space="preserve">response </w:t>
      </w:r>
      <w:r w:rsidRPr="00A511AC">
        <w:rPr>
          <w:sz w:val="20"/>
          <w:szCs w:val="20"/>
        </w:rPr>
        <w:t>capabilities in</w:t>
      </w:r>
      <w:r w:rsidR="00F25B7C">
        <w:rPr>
          <w:sz w:val="20"/>
          <w:szCs w:val="20"/>
        </w:rPr>
        <w:t xml:space="preserve"> </w:t>
      </w:r>
      <w:r w:rsidRPr="00A511AC">
        <w:rPr>
          <w:sz w:val="20"/>
          <w:szCs w:val="20"/>
        </w:rPr>
        <w:t xml:space="preserve">place prior to registration. </w:t>
      </w:r>
      <w:bookmarkStart w:id="3" w:name="_Hlk7530195"/>
      <w:bookmarkEnd w:id="2"/>
      <w:r w:rsidR="004B121C">
        <w:rPr>
          <w:sz w:val="20"/>
          <w:szCs w:val="20"/>
        </w:rPr>
        <w:t xml:space="preserve">Some of the </w:t>
      </w:r>
      <w:r w:rsidRPr="00A511AC">
        <w:rPr>
          <w:sz w:val="20"/>
          <w:szCs w:val="20"/>
        </w:rPr>
        <w:t xml:space="preserve">key obligations </w:t>
      </w:r>
      <w:r w:rsidR="004B121C">
        <w:rPr>
          <w:sz w:val="20"/>
          <w:szCs w:val="20"/>
        </w:rPr>
        <w:t>include</w:t>
      </w:r>
      <w:r w:rsidRPr="00A511AC">
        <w:rPr>
          <w:sz w:val="20"/>
          <w:szCs w:val="20"/>
        </w:rPr>
        <w:t>:</w:t>
      </w:r>
      <w:bookmarkEnd w:id="3"/>
    </w:p>
    <w:p w14:paraId="735C5D18" w14:textId="55332653" w:rsidR="00B258FA" w:rsidRDefault="00B258FA" w:rsidP="00380008">
      <w:pPr>
        <w:pStyle w:val="ListParagraph"/>
        <w:numPr>
          <w:ilvl w:val="1"/>
          <w:numId w:val="2"/>
        </w:numPr>
        <w:spacing w:after="120"/>
        <w:ind w:left="709" w:hanging="283"/>
        <w:rPr>
          <w:sz w:val="20"/>
          <w:szCs w:val="20"/>
        </w:rPr>
      </w:pPr>
      <w:bookmarkStart w:id="4" w:name="_Hlk7530215"/>
      <w:r>
        <w:rPr>
          <w:sz w:val="20"/>
          <w:szCs w:val="20"/>
        </w:rPr>
        <w:t>STTM participant</w:t>
      </w:r>
      <w:r w:rsidR="00D93432">
        <w:rPr>
          <w:sz w:val="20"/>
          <w:szCs w:val="20"/>
        </w:rPr>
        <w:t>s</w:t>
      </w:r>
      <w:r>
        <w:rPr>
          <w:sz w:val="20"/>
          <w:szCs w:val="20"/>
        </w:rPr>
        <w:t xml:space="preserve"> must, under NGR</w:t>
      </w:r>
      <w:r w:rsidR="00A305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380, </w:t>
      </w:r>
      <w:r w:rsidR="00A3050F">
        <w:rPr>
          <w:sz w:val="20"/>
          <w:szCs w:val="20"/>
        </w:rPr>
        <w:t xml:space="preserve">provide information for </w:t>
      </w:r>
      <w:r>
        <w:rPr>
          <w:sz w:val="20"/>
          <w:szCs w:val="20"/>
        </w:rPr>
        <w:t>a facility service or distribution service no later than 10 business days before the first date on which the service is to be used.</w:t>
      </w:r>
    </w:p>
    <w:p w14:paraId="1403CB90" w14:textId="29EBF29E" w:rsidR="001B24E2" w:rsidRPr="00B258FA" w:rsidRDefault="00D4566C" w:rsidP="00380008">
      <w:pPr>
        <w:pStyle w:val="ListParagraph"/>
        <w:numPr>
          <w:ilvl w:val="1"/>
          <w:numId w:val="2"/>
        </w:numPr>
        <w:spacing w:after="120"/>
        <w:ind w:left="709" w:hanging="283"/>
        <w:rPr>
          <w:sz w:val="20"/>
          <w:szCs w:val="20"/>
        </w:rPr>
      </w:pPr>
      <w:r>
        <w:rPr>
          <w:sz w:val="20"/>
          <w:szCs w:val="20"/>
        </w:rPr>
        <w:t>STTM Shipper</w:t>
      </w:r>
      <w:r w:rsidR="00D93432">
        <w:rPr>
          <w:sz w:val="20"/>
          <w:szCs w:val="20"/>
        </w:rPr>
        <w:t>s</w:t>
      </w:r>
      <w:r>
        <w:rPr>
          <w:sz w:val="20"/>
          <w:szCs w:val="20"/>
        </w:rPr>
        <w:t>, as per NGR</w:t>
      </w:r>
      <w:r w:rsidR="00D93432">
        <w:rPr>
          <w:sz w:val="20"/>
          <w:szCs w:val="20"/>
        </w:rPr>
        <w:t xml:space="preserve"> </w:t>
      </w:r>
      <w:r>
        <w:rPr>
          <w:sz w:val="20"/>
          <w:szCs w:val="20"/>
        </w:rPr>
        <w:t>418(3), must ensure that natural gas supplied by it to a hub complies with the gas quality specification for that hub</w:t>
      </w:r>
      <w:r w:rsidR="00D93432" w:rsidRPr="00D93432">
        <w:rPr>
          <w:sz w:val="20"/>
          <w:szCs w:val="20"/>
        </w:rPr>
        <w:t>, unless otherwise agreed in writing by the relevant STTM distributor or specifically authorised under a law of the relevant adoptive jurisdiction</w:t>
      </w:r>
      <w:r>
        <w:rPr>
          <w:sz w:val="20"/>
          <w:szCs w:val="20"/>
        </w:rPr>
        <w:t xml:space="preserve">. </w:t>
      </w:r>
    </w:p>
    <w:bookmarkEnd w:id="4"/>
    <w:p w14:paraId="6B295670" w14:textId="3E3BCAAF" w:rsidR="00E70CA2" w:rsidRDefault="00E70CA2" w:rsidP="00380008">
      <w:pPr>
        <w:pStyle w:val="ListParagraph"/>
        <w:numPr>
          <w:ilvl w:val="0"/>
          <w:numId w:val="2"/>
        </w:numPr>
        <w:spacing w:before="120" w:after="120"/>
        <w:ind w:left="425" w:hanging="425"/>
        <w:contextualSpacing w:val="0"/>
        <w:rPr>
          <w:sz w:val="20"/>
          <w:szCs w:val="20"/>
        </w:rPr>
      </w:pPr>
      <w:r w:rsidRPr="004F3291">
        <w:rPr>
          <w:sz w:val="20"/>
          <w:szCs w:val="20"/>
        </w:rPr>
        <w:t>Th</w:t>
      </w:r>
      <w:r w:rsidR="00CD4F39">
        <w:rPr>
          <w:sz w:val="20"/>
          <w:szCs w:val="20"/>
        </w:rPr>
        <w:t xml:space="preserve">is document </w:t>
      </w:r>
      <w:r w:rsidRPr="004F3291">
        <w:rPr>
          <w:sz w:val="20"/>
          <w:szCs w:val="20"/>
        </w:rPr>
        <w:t>is not a</w:t>
      </w:r>
      <w:r w:rsidR="0020278C">
        <w:rPr>
          <w:sz w:val="20"/>
          <w:szCs w:val="20"/>
        </w:rPr>
        <w:t>n</w:t>
      </w:r>
      <w:r w:rsidRPr="004F3291">
        <w:rPr>
          <w:sz w:val="20"/>
          <w:szCs w:val="20"/>
        </w:rPr>
        <w:t xml:space="preserve"> </w:t>
      </w:r>
      <w:r w:rsidR="0020278C" w:rsidRPr="0020278C">
        <w:rPr>
          <w:sz w:val="20"/>
          <w:szCs w:val="20"/>
        </w:rPr>
        <w:t xml:space="preserve">exhaustive </w:t>
      </w:r>
      <w:r w:rsidRPr="004F3291">
        <w:rPr>
          <w:sz w:val="20"/>
          <w:szCs w:val="20"/>
        </w:rPr>
        <w:t>list</w:t>
      </w:r>
      <w:r w:rsidR="00322132">
        <w:rPr>
          <w:sz w:val="20"/>
          <w:szCs w:val="20"/>
        </w:rPr>
        <w:t xml:space="preserve"> </w:t>
      </w:r>
      <w:r w:rsidR="00CD4F39">
        <w:rPr>
          <w:sz w:val="20"/>
          <w:szCs w:val="20"/>
        </w:rPr>
        <w:t xml:space="preserve">of obligations </w:t>
      </w:r>
      <w:r w:rsidR="00322132">
        <w:rPr>
          <w:sz w:val="20"/>
          <w:szCs w:val="20"/>
        </w:rPr>
        <w:t xml:space="preserve">but </w:t>
      </w:r>
      <w:r w:rsidR="0020278C">
        <w:rPr>
          <w:sz w:val="20"/>
          <w:szCs w:val="20"/>
        </w:rPr>
        <w:t xml:space="preserve">identifies </w:t>
      </w:r>
      <w:r w:rsidR="00322132">
        <w:rPr>
          <w:sz w:val="20"/>
          <w:szCs w:val="20"/>
        </w:rPr>
        <w:t xml:space="preserve">the </w:t>
      </w:r>
      <w:r w:rsidR="00CD4F39">
        <w:rPr>
          <w:sz w:val="20"/>
          <w:szCs w:val="20"/>
        </w:rPr>
        <w:t>general</w:t>
      </w:r>
      <w:r w:rsidR="00322132">
        <w:rPr>
          <w:sz w:val="20"/>
          <w:szCs w:val="20"/>
        </w:rPr>
        <w:t xml:space="preserve"> capabilities</w:t>
      </w:r>
      <w:r w:rsidR="00322132" w:rsidRPr="00322132">
        <w:rPr>
          <w:sz w:val="20"/>
          <w:szCs w:val="20"/>
        </w:rPr>
        <w:t xml:space="preserve"> </w:t>
      </w:r>
      <w:r w:rsidR="0020278C">
        <w:rPr>
          <w:sz w:val="20"/>
          <w:szCs w:val="20"/>
        </w:rPr>
        <w:t xml:space="preserve">Applicants </w:t>
      </w:r>
      <w:r w:rsidR="00322132">
        <w:rPr>
          <w:sz w:val="20"/>
          <w:szCs w:val="20"/>
        </w:rPr>
        <w:t xml:space="preserve">require </w:t>
      </w:r>
      <w:r w:rsidR="00322132" w:rsidRPr="00322132">
        <w:rPr>
          <w:sz w:val="20"/>
          <w:szCs w:val="20"/>
        </w:rPr>
        <w:t xml:space="preserve">to meet their </w:t>
      </w:r>
      <w:r w:rsidR="005E6297" w:rsidRPr="00322132">
        <w:rPr>
          <w:sz w:val="20"/>
          <w:szCs w:val="20"/>
        </w:rPr>
        <w:t>N</w:t>
      </w:r>
      <w:r w:rsidR="005E6297">
        <w:rPr>
          <w:sz w:val="20"/>
          <w:szCs w:val="20"/>
        </w:rPr>
        <w:t>G</w:t>
      </w:r>
      <w:r w:rsidR="005E6297" w:rsidRPr="00322132">
        <w:rPr>
          <w:sz w:val="20"/>
          <w:szCs w:val="20"/>
        </w:rPr>
        <w:t xml:space="preserve">R </w:t>
      </w:r>
      <w:r w:rsidR="00322132" w:rsidRPr="00322132">
        <w:rPr>
          <w:sz w:val="20"/>
          <w:szCs w:val="20"/>
        </w:rPr>
        <w:t>obligations</w:t>
      </w:r>
      <w:r w:rsidR="00E17300">
        <w:rPr>
          <w:sz w:val="20"/>
          <w:szCs w:val="20"/>
        </w:rPr>
        <w:t xml:space="preserve"> as at the date of this Declaration</w:t>
      </w:r>
      <w:r w:rsidRPr="004F3291">
        <w:rPr>
          <w:sz w:val="20"/>
          <w:szCs w:val="20"/>
        </w:rPr>
        <w:t>.</w:t>
      </w:r>
      <w:r w:rsidR="004D6ED7" w:rsidRPr="004F3291">
        <w:rPr>
          <w:sz w:val="20"/>
          <w:szCs w:val="20"/>
        </w:rPr>
        <w:t xml:space="preserve"> Each </w:t>
      </w:r>
      <w:r w:rsidR="00E17300">
        <w:rPr>
          <w:sz w:val="20"/>
          <w:szCs w:val="20"/>
        </w:rPr>
        <w:t>P</w:t>
      </w:r>
      <w:r w:rsidR="005E6297">
        <w:rPr>
          <w:sz w:val="20"/>
          <w:szCs w:val="20"/>
        </w:rPr>
        <w:t>articipant</w:t>
      </w:r>
      <w:r w:rsidR="004D6ED7" w:rsidRPr="004F3291">
        <w:rPr>
          <w:sz w:val="20"/>
          <w:szCs w:val="20"/>
        </w:rPr>
        <w:t xml:space="preserve"> </w:t>
      </w:r>
      <w:r w:rsidR="00E17300">
        <w:rPr>
          <w:sz w:val="20"/>
          <w:szCs w:val="20"/>
        </w:rPr>
        <w:t xml:space="preserve">in the STTM </w:t>
      </w:r>
      <w:r w:rsidR="004D6ED7" w:rsidRPr="004F3291">
        <w:rPr>
          <w:sz w:val="20"/>
          <w:szCs w:val="20"/>
        </w:rPr>
        <w:t xml:space="preserve">is responsible for maintaining current awareness of its regulatory obligations and ensuring it </w:t>
      </w:r>
      <w:proofErr w:type="gramStart"/>
      <w:r w:rsidR="004D6ED7" w:rsidRPr="004F3291">
        <w:rPr>
          <w:sz w:val="20"/>
          <w:szCs w:val="20"/>
        </w:rPr>
        <w:t>is able to</w:t>
      </w:r>
      <w:proofErr w:type="gramEnd"/>
      <w:r w:rsidR="004D6ED7" w:rsidRPr="004F3291">
        <w:rPr>
          <w:sz w:val="20"/>
          <w:szCs w:val="20"/>
        </w:rPr>
        <w:t xml:space="preserve"> comply with them.</w:t>
      </w:r>
    </w:p>
    <w:p w14:paraId="4190872F" w14:textId="1CFED400" w:rsidR="004D6ED7" w:rsidRDefault="004D6ED7" w:rsidP="00850AE9">
      <w:pPr>
        <w:rPr>
          <w:sz w:val="20"/>
          <w:szCs w:val="20"/>
        </w:rPr>
      </w:pPr>
      <w:r w:rsidRPr="004F3291">
        <w:rPr>
          <w:sz w:val="20"/>
          <w:szCs w:val="20"/>
        </w:rPr>
        <w:t>I declare that the Applicant has</w:t>
      </w:r>
      <w:r w:rsidR="00CD4F39">
        <w:rPr>
          <w:sz w:val="20"/>
          <w:szCs w:val="20"/>
        </w:rPr>
        <w:t xml:space="preserve"> </w:t>
      </w:r>
      <w:r w:rsidR="00672EF1">
        <w:rPr>
          <w:sz w:val="20"/>
          <w:szCs w:val="20"/>
        </w:rPr>
        <w:t xml:space="preserve">established prior to registration, </w:t>
      </w:r>
      <w:r w:rsidR="00CD4F39">
        <w:rPr>
          <w:sz w:val="20"/>
          <w:szCs w:val="20"/>
        </w:rPr>
        <w:t>and will maintain</w:t>
      </w:r>
      <w:r w:rsidR="00672EF1">
        <w:rPr>
          <w:sz w:val="20"/>
          <w:szCs w:val="20"/>
        </w:rPr>
        <w:t xml:space="preserve"> while registered</w:t>
      </w:r>
      <w:r w:rsidRPr="004F3291">
        <w:rPr>
          <w:sz w:val="20"/>
          <w:szCs w:val="20"/>
        </w:rPr>
        <w:t xml:space="preserve">, all necessary capabilities for compliance with the </w:t>
      </w:r>
      <w:r w:rsidR="005E6297">
        <w:rPr>
          <w:sz w:val="20"/>
          <w:szCs w:val="20"/>
        </w:rPr>
        <w:t>NGR</w:t>
      </w:r>
      <w:r w:rsidR="005E6297" w:rsidRPr="004F3291">
        <w:rPr>
          <w:sz w:val="20"/>
          <w:szCs w:val="20"/>
        </w:rPr>
        <w:t xml:space="preserve"> </w:t>
      </w:r>
      <w:r w:rsidRPr="004F3291">
        <w:rPr>
          <w:sz w:val="20"/>
          <w:szCs w:val="20"/>
        </w:rPr>
        <w:t xml:space="preserve">as a </w:t>
      </w:r>
      <w:r w:rsidR="008C7153">
        <w:rPr>
          <w:sz w:val="20"/>
          <w:szCs w:val="20"/>
        </w:rPr>
        <w:t>p</w:t>
      </w:r>
      <w:r w:rsidR="005E6297">
        <w:rPr>
          <w:sz w:val="20"/>
          <w:szCs w:val="20"/>
        </w:rPr>
        <w:t>articipant</w:t>
      </w:r>
      <w:r w:rsidR="00E17300">
        <w:rPr>
          <w:sz w:val="20"/>
          <w:szCs w:val="20"/>
        </w:rPr>
        <w:t xml:space="preserve"> in the STTM</w:t>
      </w:r>
      <w:r w:rsidRPr="004F3291">
        <w:rPr>
          <w:sz w:val="20"/>
          <w:szCs w:val="20"/>
        </w:rPr>
        <w:t>.</w:t>
      </w:r>
      <w:r w:rsidR="00292BB4">
        <w:rPr>
          <w:sz w:val="20"/>
          <w:szCs w:val="20"/>
        </w:rPr>
        <w:t xml:space="preserve"> </w:t>
      </w:r>
      <w:r w:rsidR="00292BB4" w:rsidRPr="00292BB4">
        <w:rPr>
          <w:sz w:val="20"/>
          <w:szCs w:val="20"/>
        </w:rPr>
        <w:t xml:space="preserve">I also understand that </w:t>
      </w:r>
      <w:r w:rsidR="00672EF1">
        <w:rPr>
          <w:sz w:val="20"/>
          <w:szCs w:val="20"/>
        </w:rPr>
        <w:t xml:space="preserve">failure to meet </w:t>
      </w:r>
      <w:r w:rsidR="005E6297">
        <w:rPr>
          <w:sz w:val="20"/>
          <w:szCs w:val="20"/>
        </w:rPr>
        <w:t xml:space="preserve">NGR </w:t>
      </w:r>
      <w:r w:rsidR="00672EF1">
        <w:rPr>
          <w:sz w:val="20"/>
          <w:szCs w:val="20"/>
        </w:rPr>
        <w:t>obligations may result in enforcement action by the AER.</w:t>
      </w:r>
    </w:p>
    <w:p w14:paraId="37EDFCC4" w14:textId="77777777" w:rsidR="00710DEE" w:rsidRPr="004F3291" w:rsidRDefault="00710DEE" w:rsidP="00850AE9">
      <w:pPr>
        <w:rPr>
          <w:sz w:val="20"/>
          <w:szCs w:val="20"/>
        </w:rPr>
      </w:pPr>
    </w:p>
    <w:p w14:paraId="482015EC" w14:textId="41B2CD72" w:rsidR="00D20C1F" w:rsidRDefault="00094930" w:rsidP="004F3291">
      <w:pPr>
        <w:spacing w:before="240" w:after="0"/>
      </w:pPr>
      <w:r w:rsidRPr="005E3807">
        <w:fldChar w:fldCharType="begin">
          <w:ffData>
            <w:name w:val="Text2"/>
            <w:enabled/>
            <w:calcOnExit w:val="0"/>
            <w:textInput/>
          </w:ffData>
        </w:fldChar>
      </w:r>
      <w:r w:rsidRPr="005E3807">
        <w:instrText xml:space="preserve"> FORMTEXT </w:instrText>
      </w:r>
      <w:r w:rsidRPr="005E3807">
        <w:fldChar w:fldCharType="separate"/>
      </w:r>
      <w:r w:rsidRPr="005E3807">
        <w:t> </w:t>
      </w:r>
      <w:r w:rsidRPr="005E3807">
        <w:t> </w:t>
      </w:r>
      <w:r w:rsidRPr="005E3807">
        <w:t> </w:t>
      </w:r>
      <w:r w:rsidRPr="005E3807">
        <w:t> </w:t>
      </w:r>
      <w:r w:rsidRPr="005E3807">
        <w:t> </w:t>
      </w:r>
      <w:r w:rsidRPr="005E3807">
        <w:fldChar w:fldCharType="end"/>
      </w:r>
      <w:r w:rsidR="00D20C1F">
        <w:t>…………………………………………………………………………………………………………………………………………………</w:t>
      </w:r>
    </w:p>
    <w:p w14:paraId="11F5DCEC" w14:textId="77777777" w:rsidR="00D20C1F" w:rsidRPr="00CA3475" w:rsidRDefault="00D20C1F" w:rsidP="00D20C1F">
      <w:pPr>
        <w:jc w:val="center"/>
        <w:rPr>
          <w:sz w:val="16"/>
          <w:szCs w:val="16"/>
        </w:rPr>
      </w:pPr>
      <w:r w:rsidRPr="00CA3475">
        <w:rPr>
          <w:sz w:val="16"/>
          <w:szCs w:val="16"/>
        </w:rPr>
        <w:t>(insert name)</w:t>
      </w:r>
    </w:p>
    <w:p w14:paraId="6357AE5A" w14:textId="239F4C7D" w:rsidR="00D20C1F" w:rsidRDefault="00094930" w:rsidP="004F3291">
      <w:pPr>
        <w:spacing w:before="240" w:after="0"/>
      </w:pPr>
      <w:r w:rsidRPr="005E3807">
        <w:fldChar w:fldCharType="begin">
          <w:ffData>
            <w:name w:val="Text2"/>
            <w:enabled/>
            <w:calcOnExit w:val="0"/>
            <w:textInput/>
          </w:ffData>
        </w:fldChar>
      </w:r>
      <w:r w:rsidRPr="005E3807">
        <w:instrText xml:space="preserve"> FORMTEXT </w:instrText>
      </w:r>
      <w:r w:rsidRPr="005E3807">
        <w:fldChar w:fldCharType="separate"/>
      </w:r>
      <w:r w:rsidRPr="005E3807">
        <w:t> </w:t>
      </w:r>
      <w:r w:rsidRPr="005E3807">
        <w:t> </w:t>
      </w:r>
      <w:r w:rsidRPr="005E3807">
        <w:t> </w:t>
      </w:r>
      <w:r w:rsidRPr="005E3807">
        <w:t> </w:t>
      </w:r>
      <w:r w:rsidRPr="005E3807">
        <w:t> </w:t>
      </w:r>
      <w:r w:rsidRPr="005E3807">
        <w:fldChar w:fldCharType="end"/>
      </w:r>
      <w:r w:rsidR="00D20C1F">
        <w:t>…………………………………………………………………………………………………………………………………………………</w:t>
      </w:r>
    </w:p>
    <w:p w14:paraId="35C8AF4D" w14:textId="527F7385" w:rsidR="00D20C1F" w:rsidRDefault="00D20C1F" w:rsidP="00D20C1F">
      <w:pPr>
        <w:jc w:val="center"/>
        <w:rPr>
          <w:sz w:val="16"/>
          <w:szCs w:val="16"/>
        </w:rPr>
      </w:pPr>
      <w:r>
        <w:rPr>
          <w:sz w:val="16"/>
          <w:szCs w:val="16"/>
        </w:rPr>
        <w:t>(insert title)</w:t>
      </w:r>
    </w:p>
    <w:p w14:paraId="7E7F882F" w14:textId="10E19D22" w:rsidR="00D20C1F" w:rsidRDefault="00CA3475" w:rsidP="004F3291">
      <w:pPr>
        <w:spacing w:after="0"/>
      </w:pPr>
      <w:r>
        <w:t>…………………………………………………………………………………</w:t>
      </w:r>
      <w:r>
        <w:tab/>
      </w:r>
      <w:r>
        <w:tab/>
      </w:r>
      <w:r w:rsidR="00094930" w:rsidRPr="005E3807">
        <w:fldChar w:fldCharType="begin">
          <w:ffData>
            <w:name w:val="Text2"/>
            <w:enabled/>
            <w:calcOnExit w:val="0"/>
            <w:textInput/>
          </w:ffData>
        </w:fldChar>
      </w:r>
      <w:r w:rsidR="00094930" w:rsidRPr="005E3807">
        <w:instrText xml:space="preserve"> FORMTEXT </w:instrText>
      </w:r>
      <w:r w:rsidR="00094930" w:rsidRPr="005E3807">
        <w:fldChar w:fldCharType="separate"/>
      </w:r>
      <w:r w:rsidR="00094930" w:rsidRPr="005E3807">
        <w:t> </w:t>
      </w:r>
      <w:r w:rsidR="00094930" w:rsidRPr="005E3807">
        <w:t> </w:t>
      </w:r>
      <w:r w:rsidR="00094930" w:rsidRPr="005E3807">
        <w:t> </w:t>
      </w:r>
      <w:r w:rsidR="00094930" w:rsidRPr="005E3807">
        <w:t> </w:t>
      </w:r>
      <w:r w:rsidR="00094930" w:rsidRPr="005E3807">
        <w:t> </w:t>
      </w:r>
      <w:r w:rsidR="00094930" w:rsidRPr="005E3807">
        <w:fldChar w:fldCharType="end"/>
      </w:r>
      <w:r>
        <w:t>……………………………………………</w:t>
      </w:r>
    </w:p>
    <w:p w14:paraId="19E1E4B6" w14:textId="11EC02E6" w:rsidR="00850AE9" w:rsidRPr="004F3291" w:rsidRDefault="00CA3475" w:rsidP="00850AE9">
      <w:pPr>
        <w:rPr>
          <w:sz w:val="16"/>
          <w:szCs w:val="16"/>
        </w:rPr>
      </w:pPr>
      <w:r>
        <w:rPr>
          <w:sz w:val="16"/>
          <w:szCs w:val="16"/>
        </w:rPr>
        <w:t>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sectPr w:rsidR="00850AE9" w:rsidRPr="004F3291" w:rsidSect="004F3291">
      <w:headerReference w:type="default" r:id="rId14"/>
      <w:footerReference w:type="default" r:id="rId15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730E0" w14:textId="77777777" w:rsidR="000A72D0" w:rsidRDefault="000A72D0" w:rsidP="009A027E">
      <w:pPr>
        <w:spacing w:after="0" w:line="240" w:lineRule="auto"/>
      </w:pPr>
      <w:r>
        <w:separator/>
      </w:r>
    </w:p>
  </w:endnote>
  <w:endnote w:type="continuationSeparator" w:id="0">
    <w:p w14:paraId="240EEB54" w14:textId="77777777" w:rsidR="000A72D0" w:rsidRDefault="000A72D0" w:rsidP="009A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1AF63" w14:textId="06B0229D" w:rsidR="009A027E" w:rsidRPr="004F3291" w:rsidRDefault="009A027E" w:rsidP="004F3291">
    <w:pPr>
      <w:tabs>
        <w:tab w:val="center" w:pos="4513"/>
        <w:tab w:val="right" w:pos="9026"/>
      </w:tabs>
      <w:spacing w:after="0" w:line="240" w:lineRule="auto"/>
      <w:rPr>
        <w:rFonts w:eastAsiaTheme="minorEastAsia" w:cs="Arial Unicode MS"/>
        <w:bCs/>
        <w:color w:val="222324" w:themeColor="text1"/>
        <w:sz w:val="16"/>
        <w:szCs w:val="20"/>
        <w:lang w:eastAsia="ko-KR"/>
      </w:rPr>
    </w:pPr>
    <w:r w:rsidRPr="009A027E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 xml:space="preserve">© AEMO </w:t>
    </w:r>
    <w:r w:rsidR="005E6297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>2021</w:t>
    </w:r>
    <w:r w:rsidR="005E6297" w:rsidRPr="009A027E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 xml:space="preserve"> </w:t>
    </w:r>
    <w:r w:rsidRPr="009A027E">
      <w:rPr>
        <w:rFonts w:eastAsiaTheme="minorEastAsia" w:cs="Arial Unicode MS"/>
        <w:bCs/>
        <w:color w:val="C41230" w:themeColor="accent1"/>
        <w:sz w:val="16"/>
        <w:szCs w:val="20"/>
        <w:lang w:eastAsia="ko-KR"/>
      </w:rPr>
      <w:t>|</w:t>
    </w:r>
    <w:r w:rsidRPr="009A027E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 xml:space="preserve"> </w:t>
    </w:r>
    <w:r w:rsidRPr="009A027E">
      <w:rPr>
        <w:rFonts w:eastAsiaTheme="minorEastAsia" w:cs="Arial Unicode MS"/>
        <w:bCs/>
        <w:noProof/>
        <w:color w:val="222324" w:themeColor="text1"/>
        <w:sz w:val="16"/>
        <w:szCs w:val="20"/>
        <w:lang w:eastAsia="ko-KR"/>
      </w:rPr>
      <w:t>Applica</w:t>
    </w:r>
    <w:r w:rsidR="003E6BF0">
      <w:rPr>
        <w:rFonts w:eastAsiaTheme="minorEastAsia" w:cs="Arial Unicode MS"/>
        <w:bCs/>
        <w:noProof/>
        <w:color w:val="222324" w:themeColor="text1"/>
        <w:sz w:val="16"/>
        <w:szCs w:val="20"/>
        <w:lang w:eastAsia="ko-KR"/>
      </w:rPr>
      <w:t>nt Capability Declaration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97CFC" w14:textId="77777777" w:rsidR="000A72D0" w:rsidRDefault="000A72D0" w:rsidP="009A027E">
      <w:pPr>
        <w:spacing w:after="0" w:line="240" w:lineRule="auto"/>
      </w:pPr>
      <w:r>
        <w:separator/>
      </w:r>
    </w:p>
  </w:footnote>
  <w:footnote w:type="continuationSeparator" w:id="0">
    <w:p w14:paraId="058A0354" w14:textId="77777777" w:rsidR="000A72D0" w:rsidRDefault="000A72D0" w:rsidP="009A027E">
      <w:pPr>
        <w:spacing w:after="0" w:line="240" w:lineRule="auto"/>
      </w:pPr>
      <w:r>
        <w:continuationSeparator/>
      </w:r>
    </w:p>
  </w:footnote>
  <w:footnote w:id="1">
    <w:p w14:paraId="70C7C866" w14:textId="77777777" w:rsidR="00344E70" w:rsidRDefault="00344E70" w:rsidP="00344E70">
      <w:pPr>
        <w:pStyle w:val="FootnoteText"/>
      </w:pPr>
      <w:r>
        <w:rPr>
          <w:rStyle w:val="FootnoteReference"/>
        </w:rPr>
        <w:footnoteRef/>
      </w:r>
      <w:r>
        <w:t xml:space="preserve"> Note the</w:t>
      </w:r>
      <w:r w:rsidRPr="00E108F1">
        <w:t xml:space="preserve"> checklist is for guidance only and is not an exhaustive list that guarantees compliance.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E5666" w14:textId="241D74D4" w:rsidR="009A027E" w:rsidRDefault="009A027E">
    <w:pPr>
      <w:pStyle w:val="Header"/>
    </w:pPr>
    <w:r w:rsidRPr="005D04EA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1917C09C" wp14:editId="18FDB99B">
          <wp:simplePos x="0" y="0"/>
          <wp:positionH relativeFrom="page">
            <wp:posOffset>5198110</wp:posOffset>
          </wp:positionH>
          <wp:positionV relativeFrom="topMargin">
            <wp:align>bottom</wp:align>
          </wp:positionV>
          <wp:extent cx="1990725" cy="655320"/>
          <wp:effectExtent l="0" t="0" r="9525" b="0"/>
          <wp:wrapNone/>
          <wp:docPr id="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92E2E"/>
    <w:multiLevelType w:val="hybridMultilevel"/>
    <w:tmpl w:val="B91E6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A542F"/>
    <w:multiLevelType w:val="hybridMultilevel"/>
    <w:tmpl w:val="A8BE0986"/>
    <w:lvl w:ilvl="0" w:tplc="B7F83550">
      <w:start w:val="4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34AF8"/>
    <w:multiLevelType w:val="hybridMultilevel"/>
    <w:tmpl w:val="A3E4D2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B0788"/>
    <w:multiLevelType w:val="hybridMultilevel"/>
    <w:tmpl w:val="A57C19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a90QBW1u4VA2zm/Cnz3VtjMNZP+hsDnYzG7vuGAfeCOQ2RCjL67ud3+YuM2X8/k3T5qLWfcdM28PdpGQS391A==" w:salt="2wgokODHfyaRWw0h9SD3q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21"/>
    <w:rsid w:val="000304EB"/>
    <w:rsid w:val="000655A5"/>
    <w:rsid w:val="00094930"/>
    <w:rsid w:val="000A72D0"/>
    <w:rsid w:val="000B1950"/>
    <w:rsid w:val="000B1F82"/>
    <w:rsid w:val="000D7789"/>
    <w:rsid w:val="00120310"/>
    <w:rsid w:val="00121E81"/>
    <w:rsid w:val="00131B3D"/>
    <w:rsid w:val="0015052B"/>
    <w:rsid w:val="001A71B8"/>
    <w:rsid w:val="001B24E2"/>
    <w:rsid w:val="001B288E"/>
    <w:rsid w:val="001B6728"/>
    <w:rsid w:val="001E5C66"/>
    <w:rsid w:val="0020278C"/>
    <w:rsid w:val="002309A9"/>
    <w:rsid w:val="00292BB4"/>
    <w:rsid w:val="002F4675"/>
    <w:rsid w:val="00322132"/>
    <w:rsid w:val="00324E4D"/>
    <w:rsid w:val="00344E70"/>
    <w:rsid w:val="003476DF"/>
    <w:rsid w:val="00361BFB"/>
    <w:rsid w:val="00380008"/>
    <w:rsid w:val="003A39E4"/>
    <w:rsid w:val="003E6BF0"/>
    <w:rsid w:val="00412D92"/>
    <w:rsid w:val="00426DB8"/>
    <w:rsid w:val="00441CAC"/>
    <w:rsid w:val="004450DB"/>
    <w:rsid w:val="004757EB"/>
    <w:rsid w:val="00475A4C"/>
    <w:rsid w:val="00483D02"/>
    <w:rsid w:val="00491DD8"/>
    <w:rsid w:val="004B121C"/>
    <w:rsid w:val="004B4500"/>
    <w:rsid w:val="004C0B34"/>
    <w:rsid w:val="004D6ED7"/>
    <w:rsid w:val="004F3291"/>
    <w:rsid w:val="00531835"/>
    <w:rsid w:val="00550454"/>
    <w:rsid w:val="00555BA6"/>
    <w:rsid w:val="00571C4B"/>
    <w:rsid w:val="005922FA"/>
    <w:rsid w:val="00593657"/>
    <w:rsid w:val="005C23A0"/>
    <w:rsid w:val="005E2E26"/>
    <w:rsid w:val="005E6297"/>
    <w:rsid w:val="0066768C"/>
    <w:rsid w:val="00672EF1"/>
    <w:rsid w:val="006A2C86"/>
    <w:rsid w:val="006B2854"/>
    <w:rsid w:val="006B39BA"/>
    <w:rsid w:val="00710DEE"/>
    <w:rsid w:val="0072358F"/>
    <w:rsid w:val="00753496"/>
    <w:rsid w:val="00757478"/>
    <w:rsid w:val="007668D3"/>
    <w:rsid w:val="0077063A"/>
    <w:rsid w:val="007B7321"/>
    <w:rsid w:val="007C4076"/>
    <w:rsid w:val="007C55E1"/>
    <w:rsid w:val="007D2F25"/>
    <w:rsid w:val="007E0E64"/>
    <w:rsid w:val="00802834"/>
    <w:rsid w:val="00812490"/>
    <w:rsid w:val="00850AE9"/>
    <w:rsid w:val="00876F9A"/>
    <w:rsid w:val="00897ACE"/>
    <w:rsid w:val="008B054E"/>
    <w:rsid w:val="008B30B5"/>
    <w:rsid w:val="008C0A80"/>
    <w:rsid w:val="008C7153"/>
    <w:rsid w:val="008D3F29"/>
    <w:rsid w:val="00905BD6"/>
    <w:rsid w:val="0090702E"/>
    <w:rsid w:val="00944D1B"/>
    <w:rsid w:val="00961F3B"/>
    <w:rsid w:val="009A027E"/>
    <w:rsid w:val="009B7012"/>
    <w:rsid w:val="00A14E5D"/>
    <w:rsid w:val="00A3050F"/>
    <w:rsid w:val="00A511AC"/>
    <w:rsid w:val="00A70987"/>
    <w:rsid w:val="00A70EC1"/>
    <w:rsid w:val="00A96A3A"/>
    <w:rsid w:val="00AB1A01"/>
    <w:rsid w:val="00AB2D19"/>
    <w:rsid w:val="00AB7F6E"/>
    <w:rsid w:val="00AF423D"/>
    <w:rsid w:val="00B258FA"/>
    <w:rsid w:val="00B31CB9"/>
    <w:rsid w:val="00B41DC7"/>
    <w:rsid w:val="00B63B4D"/>
    <w:rsid w:val="00B76DF4"/>
    <w:rsid w:val="00B80C89"/>
    <w:rsid w:val="00B9326E"/>
    <w:rsid w:val="00C44B30"/>
    <w:rsid w:val="00C44BE7"/>
    <w:rsid w:val="00C93700"/>
    <w:rsid w:val="00CA3475"/>
    <w:rsid w:val="00CD4F39"/>
    <w:rsid w:val="00CF0D46"/>
    <w:rsid w:val="00D20C1F"/>
    <w:rsid w:val="00D22857"/>
    <w:rsid w:val="00D404BE"/>
    <w:rsid w:val="00D4566C"/>
    <w:rsid w:val="00D93432"/>
    <w:rsid w:val="00D93803"/>
    <w:rsid w:val="00DB3580"/>
    <w:rsid w:val="00DF3C4C"/>
    <w:rsid w:val="00DF4741"/>
    <w:rsid w:val="00E03A5C"/>
    <w:rsid w:val="00E108F1"/>
    <w:rsid w:val="00E17300"/>
    <w:rsid w:val="00E63D21"/>
    <w:rsid w:val="00E70CA2"/>
    <w:rsid w:val="00E83B20"/>
    <w:rsid w:val="00E84F0F"/>
    <w:rsid w:val="00F0603E"/>
    <w:rsid w:val="00F25B7C"/>
    <w:rsid w:val="00F8113E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29274A"/>
  <w15:chartTrackingRefBased/>
  <w15:docId w15:val="{EE2EE43F-BA5E-4D65-B814-2DEEA35E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20D2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C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20D23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1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E8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20C1F"/>
    <w:rPr>
      <w:rFonts w:asciiTheme="majorHAnsi" w:eastAsiaTheme="majorEastAsia" w:hAnsiTheme="majorHAnsi" w:cstheme="majorBidi"/>
      <w:color w:val="920D2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0C1F"/>
    <w:rPr>
      <w:rFonts w:asciiTheme="majorHAnsi" w:eastAsiaTheme="majorEastAsia" w:hAnsiTheme="majorHAnsi" w:cstheme="majorBidi"/>
      <w:color w:val="920D23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A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A34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5">
    <w:name w:val="Grid Table 5 Dark Accent 5"/>
    <w:basedOn w:val="TableNormal"/>
    <w:uiPriority w:val="50"/>
    <w:rsid w:val="00CA34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6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59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59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85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859C" w:themeFill="accent5"/>
      </w:tcPr>
    </w:tblStylePr>
    <w:tblStylePr w:type="band1Vert">
      <w:tblPr/>
      <w:tcPr>
        <w:shd w:val="clear" w:color="auto" w:fill="CCCED7" w:themeFill="accent5" w:themeFillTint="66"/>
      </w:tcPr>
    </w:tblStylePr>
    <w:tblStylePr w:type="band1Horz">
      <w:tblPr/>
      <w:tcPr>
        <w:shd w:val="clear" w:color="auto" w:fill="CCCED7" w:themeFill="accent5" w:themeFillTint="66"/>
      </w:tcPr>
    </w:tblStylePr>
  </w:style>
  <w:style w:type="table" w:styleId="GridTable4">
    <w:name w:val="Grid Table 4"/>
    <w:basedOn w:val="TableNormal"/>
    <w:uiPriority w:val="49"/>
    <w:rsid w:val="00CA3475"/>
    <w:pPr>
      <w:spacing w:after="0" w:line="240" w:lineRule="auto"/>
    </w:pPr>
    <w:tblPr>
      <w:tblStyleRowBandSize w:val="1"/>
      <w:tblStyleColBandSize w:val="1"/>
      <w:tblBorders>
        <w:top w:val="single" w:sz="4" w:space="0" w:color="777A7E" w:themeColor="text1" w:themeTint="99"/>
        <w:left w:val="single" w:sz="4" w:space="0" w:color="777A7E" w:themeColor="text1" w:themeTint="99"/>
        <w:bottom w:val="single" w:sz="4" w:space="0" w:color="777A7E" w:themeColor="text1" w:themeTint="99"/>
        <w:right w:val="single" w:sz="4" w:space="0" w:color="777A7E" w:themeColor="text1" w:themeTint="99"/>
        <w:insideH w:val="single" w:sz="4" w:space="0" w:color="777A7E" w:themeColor="text1" w:themeTint="99"/>
        <w:insideV w:val="single" w:sz="4" w:space="0" w:color="777A7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324" w:themeColor="text1"/>
          <w:left w:val="single" w:sz="4" w:space="0" w:color="222324" w:themeColor="text1"/>
          <w:bottom w:val="single" w:sz="4" w:space="0" w:color="222324" w:themeColor="text1"/>
          <w:right w:val="single" w:sz="4" w:space="0" w:color="222324" w:themeColor="text1"/>
          <w:insideH w:val="nil"/>
          <w:insideV w:val="nil"/>
        </w:tcBorders>
        <w:shd w:val="clear" w:color="auto" w:fill="222324" w:themeFill="text1"/>
      </w:tcPr>
    </w:tblStylePr>
    <w:tblStylePr w:type="lastRow">
      <w:rPr>
        <w:b/>
        <w:bCs/>
      </w:rPr>
      <w:tblPr/>
      <w:tcPr>
        <w:tcBorders>
          <w:top w:val="double" w:sz="4" w:space="0" w:color="22232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2D4" w:themeFill="text1" w:themeFillTint="33"/>
      </w:tcPr>
    </w:tblStylePr>
    <w:tblStylePr w:type="band1Horz">
      <w:tblPr/>
      <w:tcPr>
        <w:shd w:val="clear" w:color="auto" w:fill="D1D2D4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A0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27E"/>
  </w:style>
  <w:style w:type="paragraph" w:styleId="Footer">
    <w:name w:val="footer"/>
    <w:basedOn w:val="Normal"/>
    <w:link w:val="FooterChar"/>
    <w:uiPriority w:val="99"/>
    <w:unhideWhenUsed/>
    <w:rsid w:val="009A0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27E"/>
  </w:style>
  <w:style w:type="paragraph" w:styleId="Title">
    <w:name w:val="Title"/>
    <w:basedOn w:val="Normal"/>
    <w:next w:val="Normal"/>
    <w:link w:val="TitleChar"/>
    <w:uiPriority w:val="10"/>
    <w:qFormat/>
    <w:rsid w:val="00710D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B2854"/>
    <w:pPr>
      <w:spacing w:after="0" w:line="240" w:lineRule="auto"/>
    </w:pPr>
  </w:style>
  <w:style w:type="paragraph" w:styleId="Revision">
    <w:name w:val="Revision"/>
    <w:hidden/>
    <w:uiPriority w:val="99"/>
    <w:semiHidden/>
    <w:rsid w:val="005C23A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C4076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9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9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09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511AC"/>
    <w:rPr>
      <w:color w:val="C4123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11A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213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213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2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EMO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CFF94BDCE5740AFDB3AA3C6D1E73B" ma:contentTypeVersion="10" ma:contentTypeDescription="Create a new document." ma:contentTypeScope="" ma:versionID="93248d7dd81ba13737986e2608a6840c">
  <xsd:schema xmlns:xsd="http://www.w3.org/2001/XMLSchema" xmlns:xs="http://www.w3.org/2001/XMLSchema" xmlns:p="http://schemas.microsoft.com/office/2006/metadata/properties" xmlns:ns2="38e981e4-b2f7-4301-9dd9-f2843a9276fa" xmlns:ns3="dc2b30ec-1a56-4212-8f95-936361b41b23" targetNamespace="http://schemas.microsoft.com/office/2006/metadata/properties" ma:root="true" ma:fieldsID="1c257e85a19be3ca4933625398927e38" ns2:_="" ns3:_="">
    <xsd:import namespace="38e981e4-b2f7-4301-9dd9-f2843a9276fa"/>
    <xsd:import namespace="dc2b30ec-1a56-4212-8f95-936361b41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981e4-b2f7-4301-9dd9-f2843a927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b30ec-1a56-4212-8f95-936361b41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658DC-7E03-4CA4-B7C5-2FF105E01BB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7DFD6EA-411A-4BE2-B43C-5CFD59710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2507D-B6BE-415F-90CC-52675939D6A8}"/>
</file>

<file path=customXml/itemProps4.xml><?xml version="1.0" encoding="utf-8"?>
<ds:datastoreItem xmlns:ds="http://schemas.openxmlformats.org/officeDocument/2006/customXml" ds:itemID="{0CE94DFB-0091-44D8-9B32-9D447D62D1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457352E-52F1-408E-BA83-22FE1FCCEF5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29A05DD-A8F4-45B1-9181-29F79015BD92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0D3617A-191D-48A9-938C-66B4CCB699C4}">
  <ds:schemaRefs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Capability Declaration - New STTM Participant</vt:lpstr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Capability Declaration - New STTM Participant</dc:title>
  <dc:subject/>
  <dc:creator>James Banks</dc:creator>
  <cp:keywords/>
  <dc:description/>
  <cp:lastModifiedBy>Caitlin Aynsley</cp:lastModifiedBy>
  <cp:revision>2</cp:revision>
  <dcterms:created xsi:type="dcterms:W3CDTF">2021-06-24T04:55:00Z</dcterms:created>
  <dcterms:modified xsi:type="dcterms:W3CDTF">2021-06-24T04:55:00Z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0x0101007D2CFF94BDCE5740AFDB3AA3C6D1E73B</vt:lpwstr>
  </property>
  <property fmtid="{D5CDD505-2E9C-101B-9397-08002B2CF9AE}" pid="3" name="AEMODocumentType">
    <vt:lpwstr>1;#Operational Record|859762f2-4462-42eb-9744-c955c7e2c540</vt:lpwstr>
  </property>
  <property fmtid="{D5CDD505-2E9C-101B-9397-08002B2CF9AE}" pid="4" name="AEMOKeywords">
    <vt:lpwstr/>
  </property>
  <property fmtid="{D5CDD505-2E9C-101B-9397-08002B2CF9AE}" pid="5" name="_dlc_DocIdItemGuid">
    <vt:lpwstr>30167922-3904-4d55-91a4-e88231fc6e85</vt:lpwstr>
  </property>
</Properties>
</file>