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C15C" w14:textId="13E4708F" w:rsidR="00B54071" w:rsidRDefault="00B55586" w:rsidP="00E62803">
      <w:r w:rsidRPr="00B805C3">
        <w:rPr>
          <w:rFonts w:asciiTheme="majorHAnsi" w:hAnsiTheme="majorHAnsi"/>
          <w:b/>
          <w:bCs/>
          <w:color w:val="FFFFFF" w:themeColor="background1"/>
          <w:sz w:val="48"/>
          <w:szCs w:val="48"/>
        </w:rPr>
        <w:t xml:space="preserve">Demand Response Service Provider </w:t>
      </w:r>
      <w:r w:rsidR="00A46793" w:rsidRPr="002970C8">
        <w:rPr>
          <w:rFonts w:asciiTheme="majorHAnsi" w:hAnsiTheme="majorHAnsi"/>
          <w:b/>
          <w:bCs/>
          <w:color w:val="FFFFFF" w:themeColor="background1"/>
          <w:sz w:val="48"/>
          <w:szCs w:val="48"/>
        </w:rPr>
        <w:t>Capability Declaration</w:t>
      </w:r>
    </w:p>
    <w:p w14:paraId="6C1698F6" w14:textId="77777777" w:rsidR="00B54071" w:rsidRDefault="00B54071" w:rsidP="00E62803"/>
    <w:p w14:paraId="3731D2A8" w14:textId="77777777" w:rsidR="00160FF0" w:rsidRDefault="00160FF0">
      <w:pPr>
        <w:rPr>
          <w:sz w:val="20"/>
          <w:szCs w:val="20"/>
        </w:rPr>
      </w:pPr>
    </w:p>
    <w:tbl>
      <w:tblPr>
        <w:tblStyle w:val="AEMO1"/>
        <w:tblpPr w:leftFromText="180" w:rightFromText="180" w:vertAnchor="text" w:horzAnchor="margin" w:tblpXSpec="center" w:tblpY="347"/>
        <w:tblW w:w="5711" w:type="pct"/>
        <w:tblLook w:val="0600" w:firstRow="0" w:lastRow="0" w:firstColumn="0" w:lastColumn="0" w:noHBand="1" w:noVBand="1"/>
      </w:tblPr>
      <w:tblGrid>
        <w:gridCol w:w="3849"/>
        <w:gridCol w:w="1538"/>
        <w:gridCol w:w="3260"/>
        <w:gridCol w:w="1534"/>
        <w:gridCol w:w="128"/>
      </w:tblGrid>
      <w:tr w:rsidR="00A154AB" w:rsidRPr="0042643B" w14:paraId="644CB128" w14:textId="77777777" w:rsidTr="00F43939">
        <w:trPr>
          <w:gridAfter w:val="1"/>
          <w:wAfter w:w="62" w:type="pct"/>
          <w:trHeight w:val="340"/>
        </w:trPr>
        <w:tc>
          <w:tcPr>
            <w:tcW w:w="1867" w:type="pct"/>
            <w:vAlign w:val="center"/>
          </w:tcPr>
          <w:p w14:paraId="757C9CF1" w14:textId="77777777" w:rsidR="00A154AB" w:rsidRPr="0042643B" w:rsidRDefault="00A154AB" w:rsidP="00A154A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</w:t>
            </w:r>
            <w:r w:rsidRPr="0042643B">
              <w:rPr>
                <w:sz w:val="20"/>
                <w:szCs w:val="20"/>
              </w:rPr>
              <w:t xml:space="preserve"> Name: </w:t>
            </w:r>
            <w:bookmarkStart w:id="0" w:name="Text1"/>
          </w:p>
        </w:tc>
        <w:bookmarkEnd w:id="0"/>
        <w:tc>
          <w:tcPr>
            <w:tcW w:w="3071" w:type="pct"/>
            <w:gridSpan w:val="3"/>
            <w:vAlign w:val="center"/>
          </w:tcPr>
          <w:p w14:paraId="489DAEEE" w14:textId="77777777" w:rsidR="00A154AB" w:rsidRPr="0042643B" w:rsidRDefault="00A154AB" w:rsidP="00A154AB">
            <w:pPr>
              <w:pStyle w:val="TableText"/>
              <w:rPr>
                <w:sz w:val="20"/>
                <w:szCs w:val="20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F43939" w:rsidRPr="0042643B" w14:paraId="2C158199" w14:textId="77777777" w:rsidTr="00F43939">
        <w:trPr>
          <w:trHeight w:val="340"/>
        </w:trPr>
        <w:tc>
          <w:tcPr>
            <w:tcW w:w="1867" w:type="pct"/>
            <w:vAlign w:val="center"/>
          </w:tcPr>
          <w:p w14:paraId="6D353D6B" w14:textId="77777777" w:rsidR="00A154AB" w:rsidRPr="0042643B" w:rsidRDefault="00A154AB" w:rsidP="00A154AB">
            <w:pPr>
              <w:pStyle w:val="TableText"/>
              <w:rPr>
                <w:sz w:val="20"/>
                <w:szCs w:val="20"/>
              </w:rPr>
            </w:pPr>
            <w:r w:rsidRPr="00160FF0">
              <w:rPr>
                <w:sz w:val="20"/>
                <w:szCs w:val="20"/>
              </w:rPr>
              <w:t xml:space="preserve">Applicant </w:t>
            </w:r>
            <w:r w:rsidRPr="0042643B">
              <w:rPr>
                <w:sz w:val="20"/>
                <w:szCs w:val="20"/>
              </w:rPr>
              <w:t xml:space="preserve">ABN: </w:t>
            </w:r>
            <w:bookmarkStart w:id="1" w:name="Text3"/>
          </w:p>
        </w:tc>
        <w:bookmarkEnd w:id="1"/>
        <w:tc>
          <w:tcPr>
            <w:tcW w:w="746" w:type="pct"/>
            <w:vAlign w:val="center"/>
          </w:tcPr>
          <w:p w14:paraId="2E8235AC" w14:textId="77777777" w:rsidR="00A154AB" w:rsidRPr="0042643B" w:rsidRDefault="00A154AB" w:rsidP="00A154AB">
            <w:pPr>
              <w:pStyle w:val="TableText"/>
              <w:rPr>
                <w:sz w:val="20"/>
                <w:szCs w:val="20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  <w:tc>
          <w:tcPr>
            <w:tcW w:w="1581" w:type="pct"/>
            <w:vAlign w:val="center"/>
          </w:tcPr>
          <w:p w14:paraId="5451CE71" w14:textId="77777777" w:rsidR="00A154AB" w:rsidRPr="0042643B" w:rsidRDefault="00A154AB" w:rsidP="00A154AB">
            <w:pPr>
              <w:pStyle w:val="TableText"/>
              <w:rPr>
                <w:sz w:val="20"/>
                <w:szCs w:val="20"/>
              </w:rPr>
            </w:pPr>
            <w:r w:rsidRPr="00160FF0">
              <w:rPr>
                <w:sz w:val="20"/>
                <w:szCs w:val="20"/>
              </w:rPr>
              <w:t xml:space="preserve">Applicant </w:t>
            </w:r>
            <w:r w:rsidRPr="0042643B">
              <w:rPr>
                <w:sz w:val="20"/>
                <w:szCs w:val="20"/>
              </w:rPr>
              <w:t xml:space="preserve">ACN: </w:t>
            </w:r>
            <w:bookmarkStart w:id="2" w:name="Text4"/>
          </w:p>
        </w:tc>
        <w:bookmarkEnd w:id="2"/>
        <w:tc>
          <w:tcPr>
            <w:tcW w:w="806" w:type="pct"/>
            <w:gridSpan w:val="2"/>
            <w:vAlign w:val="center"/>
          </w:tcPr>
          <w:p w14:paraId="61699F6A" w14:textId="77777777" w:rsidR="00A154AB" w:rsidRPr="0042643B" w:rsidRDefault="00A154AB" w:rsidP="00A154AB">
            <w:pPr>
              <w:pStyle w:val="TableText"/>
              <w:rPr>
                <w:sz w:val="20"/>
                <w:szCs w:val="20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  <w:tr w:rsidR="00A154AB" w:rsidRPr="0042643B" w14:paraId="0362A66D" w14:textId="77777777" w:rsidTr="00F43939">
        <w:trPr>
          <w:gridAfter w:val="1"/>
          <w:wAfter w:w="62" w:type="pct"/>
          <w:trHeight w:val="340"/>
        </w:trPr>
        <w:tc>
          <w:tcPr>
            <w:tcW w:w="1867" w:type="pct"/>
            <w:vAlign w:val="center"/>
          </w:tcPr>
          <w:p w14:paraId="50198720" w14:textId="77777777" w:rsidR="00A154AB" w:rsidRPr="0042643B" w:rsidRDefault="00A154AB" w:rsidP="00A154AB">
            <w:pPr>
              <w:pStyle w:val="Tabl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DUID</w:t>
            </w:r>
          </w:p>
        </w:tc>
        <w:tc>
          <w:tcPr>
            <w:tcW w:w="3071" w:type="pct"/>
            <w:gridSpan w:val="3"/>
            <w:vAlign w:val="center"/>
          </w:tcPr>
          <w:p w14:paraId="7E61A778" w14:textId="77777777" w:rsidR="00A154AB" w:rsidRPr="0042643B" w:rsidRDefault="00A154AB" w:rsidP="00A154AB">
            <w:pPr>
              <w:pStyle w:val="TableText"/>
              <w:rPr>
                <w:sz w:val="20"/>
                <w:szCs w:val="20"/>
              </w:rPr>
            </w:pP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instrText xml:space="preserve"> FORMTEXT </w:instrText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w:t> </w:t>
            </w:r>
            <w:r>
              <w:rPr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1DEB159" w14:textId="77777777" w:rsidR="00A154AB" w:rsidRDefault="00A154AB">
      <w:pPr>
        <w:rPr>
          <w:sz w:val="20"/>
          <w:szCs w:val="20"/>
        </w:rPr>
      </w:pPr>
    </w:p>
    <w:p w14:paraId="3FE1DBDB" w14:textId="77777777" w:rsidR="00A154AB" w:rsidRDefault="00A154AB">
      <w:pPr>
        <w:rPr>
          <w:sz w:val="20"/>
          <w:szCs w:val="20"/>
        </w:rPr>
      </w:pPr>
    </w:p>
    <w:p w14:paraId="32C28959" w14:textId="574652C3" w:rsidR="004D6ED7" w:rsidRPr="00376DB9" w:rsidRDefault="00D404BE" w:rsidP="00F43939">
      <w:pPr>
        <w:rPr>
          <w:sz w:val="20"/>
          <w:szCs w:val="20"/>
        </w:rPr>
      </w:pPr>
      <w:r w:rsidRPr="00376DB9">
        <w:rPr>
          <w:sz w:val="20"/>
          <w:szCs w:val="20"/>
        </w:rPr>
        <w:t>As a duly authorised representative</w:t>
      </w:r>
      <w:r w:rsidR="004D6ED7" w:rsidRPr="00376DB9">
        <w:rPr>
          <w:sz w:val="20"/>
          <w:szCs w:val="20"/>
        </w:rPr>
        <w:t xml:space="preserve"> of the Applicant</w:t>
      </w:r>
      <w:r w:rsidRPr="00376DB9">
        <w:rPr>
          <w:sz w:val="20"/>
          <w:szCs w:val="20"/>
        </w:rPr>
        <w:t xml:space="preserve">, </w:t>
      </w:r>
      <w:r w:rsidR="004D6ED7" w:rsidRPr="00376DB9">
        <w:rPr>
          <w:sz w:val="20"/>
          <w:szCs w:val="20"/>
        </w:rPr>
        <w:t>I acknowledge that I have read and understand the following statements:</w:t>
      </w:r>
    </w:p>
    <w:p w14:paraId="258A3DDB" w14:textId="6F842D2E" w:rsidR="004D6ED7" w:rsidRPr="00376DB9" w:rsidRDefault="00483D02" w:rsidP="00F43939">
      <w:pPr>
        <w:pStyle w:val="ListParagraph"/>
        <w:numPr>
          <w:ilvl w:val="0"/>
          <w:numId w:val="2"/>
        </w:numPr>
        <w:ind w:left="425" w:hanging="425"/>
        <w:contextualSpacing w:val="0"/>
        <w:rPr>
          <w:sz w:val="20"/>
          <w:szCs w:val="20"/>
        </w:rPr>
      </w:pPr>
      <w:r w:rsidRPr="00376DB9">
        <w:rPr>
          <w:sz w:val="20"/>
          <w:szCs w:val="20"/>
        </w:rPr>
        <w:t>AEMO relies on timely and accurate information and responses from all Registered P</w:t>
      </w:r>
      <w:r w:rsidR="00A70EC1" w:rsidRPr="00376DB9">
        <w:rPr>
          <w:sz w:val="20"/>
          <w:szCs w:val="20"/>
        </w:rPr>
        <w:t xml:space="preserve">articipants in line with their </w:t>
      </w:r>
      <w:r w:rsidRPr="00376DB9">
        <w:rPr>
          <w:sz w:val="20"/>
          <w:szCs w:val="20"/>
        </w:rPr>
        <w:t>obligations</w:t>
      </w:r>
      <w:r w:rsidR="00F0603E" w:rsidRPr="00376DB9">
        <w:rPr>
          <w:sz w:val="20"/>
          <w:szCs w:val="20"/>
        </w:rPr>
        <w:t xml:space="preserve"> </w:t>
      </w:r>
      <w:r w:rsidR="00CD4F39" w:rsidRPr="00376DB9">
        <w:rPr>
          <w:sz w:val="20"/>
          <w:szCs w:val="20"/>
        </w:rPr>
        <w:t xml:space="preserve">under </w:t>
      </w:r>
      <w:r w:rsidR="002309A9" w:rsidRPr="00376DB9">
        <w:rPr>
          <w:sz w:val="20"/>
          <w:szCs w:val="20"/>
        </w:rPr>
        <w:t>the National Electricity Rules (NER)</w:t>
      </w:r>
      <w:r w:rsidRPr="00376DB9">
        <w:rPr>
          <w:sz w:val="20"/>
          <w:szCs w:val="20"/>
        </w:rPr>
        <w:t xml:space="preserve">. Failure to do this can cause power system security breaches, reliability issues and significant </w:t>
      </w:r>
      <w:r w:rsidR="00121E81" w:rsidRPr="00376DB9">
        <w:rPr>
          <w:sz w:val="20"/>
          <w:szCs w:val="20"/>
        </w:rPr>
        <w:t>additional costs for the market.</w:t>
      </w:r>
      <w:r w:rsidR="00F0603E" w:rsidRPr="00376DB9">
        <w:rPr>
          <w:rStyle w:val="FootnoteReference"/>
          <w:sz w:val="20"/>
          <w:szCs w:val="20"/>
        </w:rPr>
        <w:t xml:space="preserve"> </w:t>
      </w:r>
    </w:p>
    <w:p w14:paraId="125DAC07" w14:textId="2D286CD0" w:rsidR="006A2C86" w:rsidRPr="00376DB9" w:rsidRDefault="00121E81" w:rsidP="00F43939">
      <w:pPr>
        <w:pStyle w:val="ListParagraph"/>
        <w:numPr>
          <w:ilvl w:val="0"/>
          <w:numId w:val="2"/>
        </w:numPr>
        <w:ind w:left="425" w:hanging="425"/>
        <w:contextualSpacing w:val="0"/>
        <w:rPr>
          <w:sz w:val="20"/>
          <w:szCs w:val="20"/>
        </w:rPr>
      </w:pPr>
      <w:r w:rsidRPr="00376DB9">
        <w:rPr>
          <w:sz w:val="20"/>
          <w:szCs w:val="20"/>
        </w:rPr>
        <w:t xml:space="preserve">The Australian Energy Regulator (AER) monitors and enforces compliance with the </w:t>
      </w:r>
      <w:r w:rsidR="002309A9" w:rsidRPr="00376DB9">
        <w:rPr>
          <w:sz w:val="20"/>
          <w:szCs w:val="20"/>
        </w:rPr>
        <w:t xml:space="preserve">NER </w:t>
      </w:r>
      <w:r w:rsidRPr="00376DB9">
        <w:rPr>
          <w:sz w:val="20"/>
          <w:szCs w:val="20"/>
        </w:rPr>
        <w:t xml:space="preserve">and AEMO may report identified or suspected non-conformance to the AER. </w:t>
      </w:r>
    </w:p>
    <w:p w14:paraId="34691380" w14:textId="42462BF0" w:rsidR="00E63D21" w:rsidRPr="00376DB9" w:rsidRDefault="00CD4F39" w:rsidP="00F43939">
      <w:pPr>
        <w:pStyle w:val="ListParagraph"/>
        <w:numPr>
          <w:ilvl w:val="0"/>
          <w:numId w:val="2"/>
        </w:numPr>
        <w:spacing w:after="0"/>
        <w:ind w:left="425" w:hanging="425"/>
        <w:contextualSpacing w:val="0"/>
        <w:rPr>
          <w:sz w:val="20"/>
          <w:szCs w:val="20"/>
        </w:rPr>
      </w:pPr>
      <w:r w:rsidRPr="00376DB9">
        <w:rPr>
          <w:sz w:val="20"/>
          <w:szCs w:val="20"/>
        </w:rPr>
        <w:t xml:space="preserve">As examples, some of the </w:t>
      </w:r>
      <w:r w:rsidR="00961F3B" w:rsidRPr="00376DB9">
        <w:rPr>
          <w:sz w:val="20"/>
          <w:szCs w:val="20"/>
        </w:rPr>
        <w:t xml:space="preserve">high-level </w:t>
      </w:r>
      <w:r w:rsidR="00DF3C4C" w:rsidRPr="00376DB9">
        <w:rPr>
          <w:sz w:val="20"/>
          <w:szCs w:val="20"/>
        </w:rPr>
        <w:t>general</w:t>
      </w:r>
      <w:r w:rsidR="00961F3B" w:rsidRPr="00376DB9">
        <w:rPr>
          <w:sz w:val="20"/>
          <w:szCs w:val="20"/>
        </w:rPr>
        <w:t xml:space="preserve"> </w:t>
      </w:r>
      <w:r w:rsidR="006A2C86" w:rsidRPr="00376DB9">
        <w:rPr>
          <w:sz w:val="20"/>
          <w:szCs w:val="20"/>
        </w:rPr>
        <w:t xml:space="preserve">capabilities </w:t>
      </w:r>
      <w:r w:rsidR="00CF0D46" w:rsidRPr="00376DB9">
        <w:rPr>
          <w:sz w:val="20"/>
          <w:szCs w:val="20"/>
        </w:rPr>
        <w:t xml:space="preserve">required for </w:t>
      </w:r>
      <w:r w:rsidR="009B5DA7" w:rsidRPr="00376DB9">
        <w:rPr>
          <w:sz w:val="20"/>
          <w:szCs w:val="20"/>
        </w:rPr>
        <w:t xml:space="preserve">Demand Response Service Providers </w:t>
      </w:r>
      <w:r w:rsidR="00EF4D2B" w:rsidRPr="00376DB9">
        <w:rPr>
          <w:sz w:val="20"/>
          <w:szCs w:val="20"/>
        </w:rPr>
        <w:t xml:space="preserve">(DRSPs) </w:t>
      </w:r>
      <w:r w:rsidR="00CF0D46" w:rsidRPr="00376DB9">
        <w:rPr>
          <w:sz w:val="20"/>
          <w:szCs w:val="20"/>
        </w:rPr>
        <w:t>to meet their</w:t>
      </w:r>
      <w:r w:rsidR="006A2C86" w:rsidRPr="00376DB9">
        <w:rPr>
          <w:sz w:val="20"/>
          <w:szCs w:val="20"/>
        </w:rPr>
        <w:t xml:space="preserve"> </w:t>
      </w:r>
      <w:r w:rsidR="00961F3B" w:rsidRPr="00376DB9">
        <w:rPr>
          <w:sz w:val="20"/>
          <w:szCs w:val="20"/>
        </w:rPr>
        <w:t xml:space="preserve">NER </w:t>
      </w:r>
      <w:r w:rsidR="006A2C86" w:rsidRPr="00376DB9">
        <w:rPr>
          <w:sz w:val="20"/>
          <w:szCs w:val="20"/>
        </w:rPr>
        <w:t>obligations</w:t>
      </w:r>
      <w:r w:rsidRPr="00376DB9">
        <w:rPr>
          <w:sz w:val="20"/>
          <w:szCs w:val="20"/>
        </w:rPr>
        <w:t xml:space="preserve"> are</w:t>
      </w:r>
      <w:r w:rsidR="00E70CA2" w:rsidRPr="00376DB9">
        <w:rPr>
          <w:sz w:val="20"/>
          <w:szCs w:val="20"/>
        </w:rPr>
        <w:t>:</w:t>
      </w:r>
    </w:p>
    <w:p w14:paraId="6649F81D" w14:textId="6E33D38A" w:rsidR="00CF0D46" w:rsidRPr="00376DB9" w:rsidRDefault="0077063A" w:rsidP="00F43939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bookmarkStart w:id="3" w:name="_Hlk525650502"/>
      <w:bookmarkStart w:id="4" w:name="_Hlk524516164"/>
      <w:r w:rsidRPr="00376DB9">
        <w:rPr>
          <w:sz w:val="20"/>
          <w:szCs w:val="20"/>
        </w:rPr>
        <w:t xml:space="preserve">understanding </w:t>
      </w:r>
      <w:r w:rsidR="00CF0D46" w:rsidRPr="00376DB9">
        <w:rPr>
          <w:sz w:val="20"/>
          <w:szCs w:val="20"/>
        </w:rPr>
        <w:t>bidding</w:t>
      </w:r>
      <w:r w:rsidR="008C0A80" w:rsidRPr="00376DB9">
        <w:rPr>
          <w:sz w:val="20"/>
          <w:szCs w:val="20"/>
        </w:rPr>
        <w:t>, rebidding</w:t>
      </w:r>
      <w:r w:rsidR="00CF0D46" w:rsidRPr="00376DB9">
        <w:rPr>
          <w:sz w:val="20"/>
          <w:szCs w:val="20"/>
        </w:rPr>
        <w:t xml:space="preserve"> and dispatch concepts and systems, including:</w:t>
      </w:r>
    </w:p>
    <w:p w14:paraId="4CD59847" w14:textId="445C0E52" w:rsidR="00835B71" w:rsidRPr="00376DB9" w:rsidRDefault="00144078" w:rsidP="00F43939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376DB9">
        <w:rPr>
          <w:sz w:val="20"/>
          <w:szCs w:val="20"/>
        </w:rPr>
        <w:t>formulating and submitting dispatch bids</w:t>
      </w:r>
      <w:r w:rsidR="00CE5D20" w:rsidRPr="00376DB9">
        <w:rPr>
          <w:sz w:val="20"/>
          <w:szCs w:val="20"/>
        </w:rPr>
        <w:t xml:space="preserve"> including understanding validation rules</w:t>
      </w:r>
      <w:r w:rsidR="0024470C" w:rsidRPr="00376DB9">
        <w:rPr>
          <w:sz w:val="20"/>
          <w:szCs w:val="20"/>
        </w:rPr>
        <w:t xml:space="preserve">, taking into account </w:t>
      </w:r>
      <w:r w:rsidR="00AE0AEF" w:rsidRPr="00376DB9">
        <w:rPr>
          <w:sz w:val="20"/>
          <w:szCs w:val="20"/>
        </w:rPr>
        <w:t>forecasts</w:t>
      </w:r>
      <w:r w:rsidR="00533E4E" w:rsidRPr="00376DB9">
        <w:rPr>
          <w:sz w:val="20"/>
          <w:szCs w:val="20"/>
        </w:rPr>
        <w:t xml:space="preserve"> </w:t>
      </w:r>
      <w:r w:rsidR="00B11A98" w:rsidRPr="00376DB9">
        <w:rPr>
          <w:sz w:val="20"/>
          <w:szCs w:val="20"/>
        </w:rPr>
        <w:t xml:space="preserve">of their </w:t>
      </w:r>
      <w:r w:rsidR="00134992" w:rsidRPr="00376DB9">
        <w:rPr>
          <w:sz w:val="20"/>
          <w:szCs w:val="20"/>
        </w:rPr>
        <w:t xml:space="preserve">WDRU </w:t>
      </w:r>
      <w:r w:rsidR="00B11A98" w:rsidRPr="00376DB9">
        <w:rPr>
          <w:sz w:val="20"/>
          <w:szCs w:val="20"/>
        </w:rPr>
        <w:t>loads</w:t>
      </w:r>
      <w:r w:rsidR="00133BC4" w:rsidRPr="00376DB9">
        <w:rPr>
          <w:sz w:val="20"/>
          <w:szCs w:val="20"/>
        </w:rPr>
        <w:t xml:space="preserve"> assuming no WDRU</w:t>
      </w:r>
      <w:r w:rsidR="00551EAD" w:rsidRPr="00376DB9">
        <w:rPr>
          <w:sz w:val="20"/>
          <w:szCs w:val="20"/>
        </w:rPr>
        <w:t xml:space="preserve"> response</w:t>
      </w:r>
      <w:r w:rsidR="009F6CDE" w:rsidRPr="00376DB9">
        <w:rPr>
          <w:sz w:val="20"/>
          <w:szCs w:val="20"/>
        </w:rPr>
        <w:t xml:space="preserve"> is </w:t>
      </w:r>
      <w:proofErr w:type="gramStart"/>
      <w:r w:rsidR="00277B7F" w:rsidRPr="00376DB9">
        <w:rPr>
          <w:sz w:val="20"/>
          <w:szCs w:val="20"/>
        </w:rPr>
        <w:t>dispatched</w:t>
      </w:r>
      <w:r w:rsidRPr="00376DB9">
        <w:rPr>
          <w:sz w:val="20"/>
          <w:szCs w:val="20"/>
        </w:rPr>
        <w:t>;</w:t>
      </w:r>
      <w:proofErr w:type="gramEnd"/>
    </w:p>
    <w:p w14:paraId="72EAD20D" w14:textId="1D8F206E" w:rsidR="00DB4186" w:rsidRPr="00376DB9" w:rsidRDefault="00DB4186" w:rsidP="00F43939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376DB9">
        <w:rPr>
          <w:sz w:val="20"/>
          <w:szCs w:val="20"/>
        </w:rPr>
        <w:t>understanding the relationship</w:t>
      </w:r>
      <w:r w:rsidR="00490798" w:rsidRPr="00376DB9">
        <w:rPr>
          <w:sz w:val="20"/>
          <w:szCs w:val="20"/>
        </w:rPr>
        <w:t xml:space="preserve"> between dispatch bids and dispatch targets</w:t>
      </w:r>
    </w:p>
    <w:p w14:paraId="58B5F93B" w14:textId="6EFCCA53" w:rsidR="00CF0D46" w:rsidRPr="00376DB9" w:rsidRDefault="0077063A" w:rsidP="00F43939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376DB9">
        <w:rPr>
          <w:sz w:val="20"/>
          <w:szCs w:val="20"/>
        </w:rPr>
        <w:t xml:space="preserve">receiving </w:t>
      </w:r>
      <w:r w:rsidR="007E0E64" w:rsidRPr="00376DB9">
        <w:rPr>
          <w:sz w:val="20"/>
          <w:szCs w:val="20"/>
        </w:rPr>
        <w:t>and f</w:t>
      </w:r>
      <w:r w:rsidR="00CF0D46" w:rsidRPr="00376DB9">
        <w:rPr>
          <w:sz w:val="20"/>
          <w:szCs w:val="20"/>
        </w:rPr>
        <w:t>ollowing dispatch targets</w:t>
      </w:r>
      <w:r w:rsidRPr="00376DB9">
        <w:rPr>
          <w:sz w:val="20"/>
          <w:szCs w:val="20"/>
        </w:rPr>
        <w:t>; and</w:t>
      </w:r>
    </w:p>
    <w:p w14:paraId="5C2B6BD1" w14:textId="17234100" w:rsidR="007E0E64" w:rsidRPr="00376DB9" w:rsidRDefault="0077063A" w:rsidP="00F43939">
      <w:pPr>
        <w:pStyle w:val="ListParagraph"/>
        <w:numPr>
          <w:ilvl w:val="1"/>
          <w:numId w:val="1"/>
        </w:numPr>
        <w:ind w:left="1276" w:hanging="425"/>
        <w:rPr>
          <w:sz w:val="20"/>
          <w:szCs w:val="20"/>
        </w:rPr>
      </w:pPr>
      <w:r w:rsidRPr="00376DB9">
        <w:rPr>
          <w:sz w:val="20"/>
          <w:szCs w:val="20"/>
        </w:rPr>
        <w:t xml:space="preserve">managing </w:t>
      </w:r>
      <w:r w:rsidR="00CF0D46" w:rsidRPr="00376DB9">
        <w:rPr>
          <w:sz w:val="20"/>
          <w:szCs w:val="20"/>
        </w:rPr>
        <w:t xml:space="preserve">availability in the </w:t>
      </w:r>
      <w:r w:rsidR="00A70EC1" w:rsidRPr="00376DB9">
        <w:rPr>
          <w:sz w:val="20"/>
          <w:szCs w:val="20"/>
        </w:rPr>
        <w:t>NEM Market Management System (</w:t>
      </w:r>
      <w:r w:rsidR="00CF0D46" w:rsidRPr="00376DB9">
        <w:rPr>
          <w:sz w:val="20"/>
          <w:szCs w:val="20"/>
        </w:rPr>
        <w:t>MMS</w:t>
      </w:r>
      <w:r w:rsidR="00A70EC1" w:rsidRPr="00376DB9">
        <w:rPr>
          <w:sz w:val="20"/>
          <w:szCs w:val="20"/>
        </w:rPr>
        <w:t>)</w:t>
      </w:r>
      <w:r w:rsidR="00C44BE7" w:rsidRPr="00376DB9">
        <w:rPr>
          <w:sz w:val="20"/>
          <w:szCs w:val="20"/>
        </w:rPr>
        <w:t>, including:</w:t>
      </w:r>
    </w:p>
    <w:p w14:paraId="0122BAAB" w14:textId="18BA7554" w:rsidR="007E0E64" w:rsidRPr="00376DB9" w:rsidRDefault="0077063A" w:rsidP="00F43939">
      <w:pPr>
        <w:pStyle w:val="ListParagraph"/>
        <w:numPr>
          <w:ilvl w:val="2"/>
          <w:numId w:val="1"/>
        </w:numPr>
        <w:ind w:left="1560" w:hanging="284"/>
        <w:rPr>
          <w:sz w:val="20"/>
          <w:szCs w:val="20"/>
        </w:rPr>
      </w:pPr>
      <w:r w:rsidRPr="00376DB9">
        <w:rPr>
          <w:sz w:val="20"/>
          <w:szCs w:val="20"/>
        </w:rPr>
        <w:t xml:space="preserve">submitting </w:t>
      </w:r>
      <w:r w:rsidR="007E0E64" w:rsidRPr="00376DB9">
        <w:rPr>
          <w:sz w:val="20"/>
          <w:szCs w:val="20"/>
        </w:rPr>
        <w:t>and updating PASA information</w:t>
      </w:r>
      <w:r w:rsidR="007A5A01" w:rsidRPr="00376DB9">
        <w:rPr>
          <w:sz w:val="20"/>
          <w:szCs w:val="20"/>
        </w:rPr>
        <w:t xml:space="preserve"> for wholesale demand response units (WDRUs)</w:t>
      </w:r>
      <w:r w:rsidRPr="00376DB9">
        <w:rPr>
          <w:sz w:val="20"/>
          <w:szCs w:val="20"/>
        </w:rPr>
        <w:t>; and</w:t>
      </w:r>
    </w:p>
    <w:p w14:paraId="6E37218B" w14:textId="71121680" w:rsidR="00D24047" w:rsidRPr="00376DB9" w:rsidRDefault="007A5A01" w:rsidP="00F43939">
      <w:pPr>
        <w:pStyle w:val="ListParagraph"/>
        <w:numPr>
          <w:ilvl w:val="2"/>
          <w:numId w:val="1"/>
        </w:numPr>
        <w:ind w:left="1560" w:hanging="284"/>
        <w:rPr>
          <w:sz w:val="20"/>
          <w:szCs w:val="20"/>
        </w:rPr>
      </w:pPr>
      <w:r w:rsidRPr="00376DB9">
        <w:rPr>
          <w:sz w:val="20"/>
          <w:szCs w:val="20"/>
        </w:rPr>
        <w:t>U</w:t>
      </w:r>
      <w:r w:rsidR="00C44BE7" w:rsidRPr="00376DB9">
        <w:rPr>
          <w:sz w:val="20"/>
          <w:szCs w:val="20"/>
        </w:rPr>
        <w:t>s</w:t>
      </w:r>
      <w:r w:rsidR="005C23A0" w:rsidRPr="00376DB9">
        <w:rPr>
          <w:sz w:val="20"/>
          <w:szCs w:val="20"/>
        </w:rPr>
        <w:t>e</w:t>
      </w:r>
      <w:r w:rsidR="00C44BE7" w:rsidRPr="00376DB9">
        <w:rPr>
          <w:sz w:val="20"/>
          <w:szCs w:val="20"/>
        </w:rPr>
        <w:t xml:space="preserve"> of MMS </w:t>
      </w:r>
      <w:r w:rsidRPr="00376DB9">
        <w:rPr>
          <w:sz w:val="20"/>
          <w:szCs w:val="20"/>
        </w:rPr>
        <w:t xml:space="preserve">bidding systems for </w:t>
      </w:r>
      <w:r w:rsidR="00D141CB" w:rsidRPr="00376DB9">
        <w:rPr>
          <w:sz w:val="20"/>
          <w:szCs w:val="20"/>
        </w:rPr>
        <w:t xml:space="preserve">DRSPs, including MMS </w:t>
      </w:r>
      <w:r w:rsidR="00C44BE7" w:rsidRPr="00376DB9">
        <w:rPr>
          <w:sz w:val="20"/>
          <w:szCs w:val="20"/>
        </w:rPr>
        <w:t>portal</w:t>
      </w:r>
      <w:r w:rsidR="00D141CB" w:rsidRPr="00376DB9">
        <w:rPr>
          <w:sz w:val="20"/>
          <w:szCs w:val="20"/>
        </w:rPr>
        <w:t>.</w:t>
      </w:r>
    </w:p>
    <w:p w14:paraId="237964E1" w14:textId="0DF91A87" w:rsidR="00550454" w:rsidRPr="00376DB9" w:rsidRDefault="0077063A" w:rsidP="00F43939">
      <w:pPr>
        <w:pStyle w:val="ListParagraph"/>
        <w:numPr>
          <w:ilvl w:val="0"/>
          <w:numId w:val="1"/>
        </w:numPr>
        <w:ind w:hanging="294"/>
        <w:rPr>
          <w:rFonts w:eastAsiaTheme="minorEastAsia"/>
          <w:sz w:val="20"/>
          <w:szCs w:val="20"/>
        </w:rPr>
      </w:pPr>
      <w:bookmarkStart w:id="5" w:name="_Hlk525646784"/>
      <w:bookmarkEnd w:id="3"/>
      <w:r w:rsidRPr="00376DB9">
        <w:rPr>
          <w:sz w:val="20"/>
          <w:szCs w:val="20"/>
        </w:rPr>
        <w:t xml:space="preserve">understanding </w:t>
      </w:r>
      <w:r w:rsidR="5F2BDB55" w:rsidRPr="00376DB9">
        <w:rPr>
          <w:sz w:val="20"/>
          <w:szCs w:val="20"/>
        </w:rPr>
        <w:t>telemetry and communications systems requirements</w:t>
      </w:r>
    </w:p>
    <w:bookmarkEnd w:id="5"/>
    <w:p w14:paraId="4F684809" w14:textId="25647095" w:rsidR="004B121C" w:rsidRPr="00376DB9" w:rsidRDefault="0077063A" w:rsidP="00F43939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 w:rsidRPr="00376DB9">
        <w:rPr>
          <w:sz w:val="20"/>
          <w:szCs w:val="20"/>
        </w:rPr>
        <w:t xml:space="preserve">monitoring </w:t>
      </w:r>
      <w:r w:rsidR="00AB7F6E" w:rsidRPr="00376DB9">
        <w:rPr>
          <w:sz w:val="20"/>
          <w:szCs w:val="20"/>
        </w:rPr>
        <w:t xml:space="preserve">and maintaining </w:t>
      </w:r>
      <w:r w:rsidR="00CD21E6" w:rsidRPr="00376DB9">
        <w:rPr>
          <w:sz w:val="20"/>
          <w:szCs w:val="20"/>
        </w:rPr>
        <w:t xml:space="preserve">the relevant </w:t>
      </w:r>
      <w:r w:rsidR="00AB7F6E" w:rsidRPr="00376DB9">
        <w:rPr>
          <w:sz w:val="20"/>
          <w:szCs w:val="20"/>
        </w:rPr>
        <w:t xml:space="preserve">plant </w:t>
      </w:r>
      <w:r w:rsidR="00CD21E6" w:rsidRPr="00376DB9">
        <w:rPr>
          <w:sz w:val="20"/>
          <w:szCs w:val="20"/>
        </w:rPr>
        <w:t xml:space="preserve">and equipment </w:t>
      </w:r>
      <w:r w:rsidR="00AB7F6E" w:rsidRPr="00376DB9">
        <w:rPr>
          <w:sz w:val="20"/>
          <w:szCs w:val="20"/>
        </w:rPr>
        <w:t xml:space="preserve">to ensure compliance with </w:t>
      </w:r>
      <w:r w:rsidR="00302D2F" w:rsidRPr="00376DB9">
        <w:rPr>
          <w:sz w:val="20"/>
          <w:szCs w:val="20"/>
        </w:rPr>
        <w:t xml:space="preserve">relevant </w:t>
      </w:r>
      <w:r w:rsidR="00AB7F6E" w:rsidRPr="00376DB9">
        <w:rPr>
          <w:sz w:val="20"/>
          <w:szCs w:val="20"/>
        </w:rPr>
        <w:t>performance standards</w:t>
      </w:r>
      <w:r w:rsidR="00CC4B10" w:rsidRPr="00376DB9">
        <w:rPr>
          <w:sz w:val="20"/>
          <w:szCs w:val="20"/>
        </w:rPr>
        <w:t xml:space="preserve"> and performance parameters and requi</w:t>
      </w:r>
      <w:r w:rsidR="008F537B" w:rsidRPr="00376DB9">
        <w:rPr>
          <w:sz w:val="20"/>
          <w:szCs w:val="20"/>
        </w:rPr>
        <w:t>rements identified</w:t>
      </w:r>
      <w:r w:rsidR="00CD21E6" w:rsidRPr="00376DB9">
        <w:rPr>
          <w:sz w:val="20"/>
          <w:szCs w:val="20"/>
        </w:rPr>
        <w:t xml:space="preserve">, </w:t>
      </w:r>
      <w:r w:rsidR="008F537B" w:rsidRPr="00376DB9">
        <w:rPr>
          <w:sz w:val="20"/>
          <w:szCs w:val="20"/>
        </w:rPr>
        <w:t>in the</w:t>
      </w:r>
      <w:r w:rsidR="00CD21E6" w:rsidRPr="00376DB9">
        <w:rPr>
          <w:sz w:val="20"/>
          <w:szCs w:val="20"/>
        </w:rPr>
        <w:t xml:space="preserve"> </w:t>
      </w:r>
      <w:r w:rsidR="45E4A6F8" w:rsidRPr="00376DB9">
        <w:rPr>
          <w:sz w:val="20"/>
          <w:szCs w:val="20"/>
        </w:rPr>
        <w:t>Market Ancillary Services Specification (</w:t>
      </w:r>
      <w:r w:rsidR="00793B9C" w:rsidRPr="00376DB9">
        <w:rPr>
          <w:sz w:val="20"/>
          <w:szCs w:val="20"/>
        </w:rPr>
        <w:t>MASS</w:t>
      </w:r>
      <w:r w:rsidR="0832BC93" w:rsidRPr="00376DB9">
        <w:rPr>
          <w:sz w:val="20"/>
          <w:szCs w:val="20"/>
        </w:rPr>
        <w:t>)</w:t>
      </w:r>
      <w:r w:rsidR="00244EAD" w:rsidRPr="00376DB9">
        <w:rPr>
          <w:sz w:val="20"/>
          <w:szCs w:val="20"/>
        </w:rPr>
        <w:t xml:space="preserve"> in respect of ancillary service </w:t>
      </w:r>
      <w:r w:rsidR="0002275A">
        <w:rPr>
          <w:sz w:val="20"/>
          <w:szCs w:val="20"/>
        </w:rPr>
        <w:t>unit</w:t>
      </w:r>
      <w:r w:rsidR="0002275A" w:rsidRPr="00376DB9">
        <w:rPr>
          <w:sz w:val="20"/>
          <w:szCs w:val="20"/>
        </w:rPr>
        <w:t xml:space="preserve"> </w:t>
      </w:r>
      <w:r w:rsidR="0034728E" w:rsidRPr="00376DB9">
        <w:rPr>
          <w:sz w:val="20"/>
          <w:szCs w:val="20"/>
        </w:rPr>
        <w:t>(</w:t>
      </w:r>
      <w:r w:rsidR="001102B5">
        <w:rPr>
          <w:sz w:val="20"/>
          <w:szCs w:val="20"/>
        </w:rPr>
        <w:t>ASU</w:t>
      </w:r>
      <w:r w:rsidR="0034728E" w:rsidRPr="00376DB9">
        <w:rPr>
          <w:sz w:val="20"/>
          <w:szCs w:val="20"/>
        </w:rPr>
        <w:t>s</w:t>
      </w:r>
      <w:proofErr w:type="gramStart"/>
      <w:r w:rsidR="0034728E" w:rsidRPr="00376DB9">
        <w:rPr>
          <w:sz w:val="20"/>
          <w:szCs w:val="20"/>
        </w:rPr>
        <w:t>)</w:t>
      </w:r>
      <w:r w:rsidRPr="00376DB9">
        <w:rPr>
          <w:sz w:val="20"/>
          <w:szCs w:val="20"/>
        </w:rPr>
        <w:t>;</w:t>
      </w:r>
      <w:proofErr w:type="gramEnd"/>
    </w:p>
    <w:p w14:paraId="334673B8" w14:textId="6A280A1A" w:rsidR="00CC5EEC" w:rsidRPr="00A01AC8" w:rsidRDefault="00C61AA0" w:rsidP="00A01AC8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 w:rsidRPr="00376DB9">
        <w:rPr>
          <w:sz w:val="20"/>
          <w:szCs w:val="20"/>
        </w:rPr>
        <w:t xml:space="preserve">monitoring the compliance of individual </w:t>
      </w:r>
      <w:r w:rsidR="00BB7695" w:rsidRPr="00376DB9">
        <w:rPr>
          <w:sz w:val="20"/>
          <w:szCs w:val="20"/>
        </w:rPr>
        <w:t>WDRUs with the baseline eligibility requirements and acting in accordance with the NER when non-compliance is identified.</w:t>
      </w:r>
    </w:p>
    <w:p w14:paraId="19E494D3" w14:textId="2CCC4381" w:rsidR="0485066F" w:rsidRPr="00CC5EEC" w:rsidRDefault="251D33E1" w:rsidP="00CC5EEC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 w:rsidRPr="0485066F">
        <w:rPr>
          <w:sz w:val="20"/>
          <w:szCs w:val="20"/>
        </w:rPr>
        <w:lastRenderedPageBreak/>
        <w:t>awareness</w:t>
      </w:r>
      <w:r w:rsidR="71815490" w:rsidRPr="0485066F">
        <w:rPr>
          <w:sz w:val="20"/>
          <w:szCs w:val="20"/>
        </w:rPr>
        <w:t xml:space="preserve">, management </w:t>
      </w:r>
      <w:r w:rsidRPr="0485066F">
        <w:rPr>
          <w:sz w:val="20"/>
          <w:szCs w:val="20"/>
        </w:rPr>
        <w:t xml:space="preserve">and communication to AEMO of circumstances </w:t>
      </w:r>
      <w:r w:rsidR="059B0BEF" w:rsidRPr="0485066F">
        <w:rPr>
          <w:sz w:val="20"/>
          <w:szCs w:val="20"/>
        </w:rPr>
        <w:t xml:space="preserve">in respect of </w:t>
      </w:r>
      <w:r w:rsidR="0E4212A1" w:rsidRPr="0485066F">
        <w:rPr>
          <w:sz w:val="20"/>
          <w:szCs w:val="20"/>
        </w:rPr>
        <w:t xml:space="preserve">WDRUs or </w:t>
      </w:r>
      <w:r w:rsidR="7CB85F59" w:rsidRPr="0485066F">
        <w:rPr>
          <w:sz w:val="20"/>
          <w:szCs w:val="20"/>
        </w:rPr>
        <w:t>ASU</w:t>
      </w:r>
      <w:r w:rsidR="7048E078" w:rsidRPr="0485066F">
        <w:rPr>
          <w:sz w:val="20"/>
          <w:szCs w:val="20"/>
        </w:rPr>
        <w:t>s, including amendments to plant,</w:t>
      </w:r>
      <w:r w:rsidR="059B0BEF" w:rsidRPr="0485066F">
        <w:rPr>
          <w:sz w:val="20"/>
          <w:szCs w:val="20"/>
        </w:rPr>
        <w:t xml:space="preserve"> </w:t>
      </w:r>
      <w:r w:rsidRPr="0485066F">
        <w:rPr>
          <w:sz w:val="20"/>
          <w:szCs w:val="20"/>
        </w:rPr>
        <w:t xml:space="preserve">that could affect AEMO’s management of power system </w:t>
      </w:r>
      <w:proofErr w:type="gramStart"/>
      <w:r w:rsidRPr="0485066F">
        <w:rPr>
          <w:sz w:val="20"/>
          <w:szCs w:val="20"/>
        </w:rPr>
        <w:t>security;</w:t>
      </w:r>
      <w:proofErr w:type="gramEnd"/>
      <w:r w:rsidR="35367872" w:rsidRPr="0485066F">
        <w:rPr>
          <w:sz w:val="20"/>
          <w:szCs w:val="20"/>
        </w:rPr>
        <w:t xml:space="preserve"> </w:t>
      </w:r>
    </w:p>
    <w:p w14:paraId="467611DC" w14:textId="77777777" w:rsidR="002750B6" w:rsidRPr="002750B6" w:rsidRDefault="002750B6" w:rsidP="002750B6">
      <w:pPr>
        <w:spacing w:after="0"/>
        <w:rPr>
          <w:rFonts w:eastAsiaTheme="minorEastAsia"/>
          <w:sz w:val="20"/>
          <w:szCs w:val="20"/>
        </w:rPr>
      </w:pPr>
      <w:r w:rsidRPr="002750B6">
        <w:rPr>
          <w:rFonts w:asciiTheme="majorHAnsi" w:hAnsiTheme="majorHAnsi"/>
          <w:b/>
          <w:bCs/>
          <w:color w:val="FFFFFF" w:themeColor="background1"/>
          <w:sz w:val="48"/>
          <w:szCs w:val="48"/>
        </w:rPr>
        <w:t>Demand Response Service Provider Capability Declaration</w:t>
      </w:r>
    </w:p>
    <w:p w14:paraId="473E55BD" w14:textId="77777777" w:rsidR="00F748F9" w:rsidRDefault="00F748F9" w:rsidP="002750B6">
      <w:pPr>
        <w:spacing w:after="0"/>
        <w:rPr>
          <w:rFonts w:eastAsiaTheme="minorEastAsia"/>
          <w:sz w:val="20"/>
          <w:szCs w:val="20"/>
        </w:rPr>
      </w:pPr>
    </w:p>
    <w:p w14:paraId="2AE99906" w14:textId="77777777" w:rsidR="002750B6" w:rsidRDefault="002750B6" w:rsidP="002750B6">
      <w:pPr>
        <w:spacing w:after="0"/>
        <w:rPr>
          <w:rFonts w:eastAsiaTheme="minorEastAsia"/>
          <w:sz w:val="20"/>
          <w:szCs w:val="20"/>
        </w:rPr>
      </w:pPr>
    </w:p>
    <w:p w14:paraId="48380EFF" w14:textId="77777777" w:rsidR="002750B6" w:rsidRDefault="002750B6" w:rsidP="002750B6">
      <w:pPr>
        <w:spacing w:after="0"/>
        <w:rPr>
          <w:rFonts w:eastAsiaTheme="minorEastAsia"/>
          <w:sz w:val="20"/>
          <w:szCs w:val="20"/>
        </w:rPr>
      </w:pPr>
    </w:p>
    <w:p w14:paraId="764E8DA9" w14:textId="23BAAC8A" w:rsidR="00F748F9" w:rsidRPr="00A01AC8" w:rsidRDefault="00F748F9" w:rsidP="00A01AC8">
      <w:pPr>
        <w:spacing w:after="0"/>
        <w:rPr>
          <w:rFonts w:eastAsiaTheme="minorEastAsia"/>
          <w:sz w:val="20"/>
          <w:szCs w:val="20"/>
        </w:rPr>
      </w:pPr>
    </w:p>
    <w:p w14:paraId="00D163C6" w14:textId="3D6C142B" w:rsidR="00AB7F6E" w:rsidRPr="00376DB9" w:rsidRDefault="53983B20" w:rsidP="00F43939">
      <w:pPr>
        <w:pStyle w:val="ListParagraph"/>
        <w:numPr>
          <w:ilvl w:val="0"/>
          <w:numId w:val="1"/>
        </w:numPr>
        <w:spacing w:after="0"/>
        <w:ind w:hanging="294"/>
        <w:rPr>
          <w:rFonts w:eastAsiaTheme="minorEastAsia"/>
          <w:sz w:val="20"/>
          <w:szCs w:val="20"/>
        </w:rPr>
      </w:pPr>
      <w:r w:rsidRPr="00376DB9">
        <w:rPr>
          <w:sz w:val="20"/>
          <w:szCs w:val="20"/>
        </w:rPr>
        <w:t xml:space="preserve">submitting </w:t>
      </w:r>
      <w:r w:rsidR="1A989F44" w:rsidRPr="00376DB9">
        <w:rPr>
          <w:sz w:val="20"/>
          <w:szCs w:val="20"/>
        </w:rPr>
        <w:t xml:space="preserve">information </w:t>
      </w:r>
      <w:r w:rsidR="37343F6C" w:rsidRPr="00376DB9">
        <w:rPr>
          <w:sz w:val="20"/>
          <w:szCs w:val="20"/>
        </w:rPr>
        <w:t xml:space="preserve">to AEMO’s Demand Side Participation Information (DSPI) </w:t>
      </w:r>
      <w:r w:rsidR="7560A356" w:rsidRPr="00376DB9">
        <w:rPr>
          <w:sz w:val="20"/>
          <w:szCs w:val="20"/>
        </w:rPr>
        <w:t>portal</w:t>
      </w:r>
      <w:r w:rsidR="4EF9904F" w:rsidRPr="00376DB9">
        <w:rPr>
          <w:sz w:val="20"/>
          <w:szCs w:val="20"/>
        </w:rPr>
        <w:t xml:space="preserve"> </w:t>
      </w:r>
      <w:r w:rsidR="086D405C" w:rsidRPr="00376DB9">
        <w:rPr>
          <w:rFonts w:ascii="Segoe UI Semilight" w:eastAsia="Segoe UI Semilight" w:hAnsi="Segoe UI Semilight" w:cs="Segoe UI Semilight"/>
          <w:color w:val="222324" w:themeColor="text1"/>
          <w:sz w:val="20"/>
          <w:szCs w:val="20"/>
        </w:rPr>
        <w:t xml:space="preserve">as required </w:t>
      </w:r>
      <w:r w:rsidR="4EF9904F" w:rsidRPr="00376DB9">
        <w:rPr>
          <w:sz w:val="20"/>
          <w:szCs w:val="20"/>
        </w:rPr>
        <w:t>in accordance with AEMO’s DSPI Guidelines</w:t>
      </w:r>
      <w:r w:rsidR="1AD5BA31" w:rsidRPr="00376DB9">
        <w:rPr>
          <w:sz w:val="20"/>
          <w:szCs w:val="20"/>
        </w:rPr>
        <w:t xml:space="preserve">; </w:t>
      </w:r>
      <w:r w:rsidR="0077063A" w:rsidRPr="00376DB9">
        <w:rPr>
          <w:sz w:val="20"/>
          <w:szCs w:val="20"/>
        </w:rPr>
        <w:t>and</w:t>
      </w:r>
    </w:p>
    <w:p w14:paraId="1F49E0F5" w14:textId="6D84910E" w:rsidR="00A0039E" w:rsidRPr="00CC5EEC" w:rsidRDefault="008C0A80" w:rsidP="00A0039E">
      <w:pPr>
        <w:pStyle w:val="ListParagraph"/>
        <w:numPr>
          <w:ilvl w:val="0"/>
          <w:numId w:val="1"/>
        </w:numPr>
        <w:ind w:hanging="294"/>
        <w:rPr>
          <w:sz w:val="20"/>
          <w:szCs w:val="20"/>
        </w:rPr>
      </w:pPr>
      <w:r w:rsidRPr="00376DB9">
        <w:rPr>
          <w:sz w:val="20"/>
          <w:szCs w:val="20"/>
        </w:rPr>
        <w:t xml:space="preserve">understanding of </w:t>
      </w:r>
      <w:r w:rsidR="00AB7F6E" w:rsidRPr="00376DB9">
        <w:rPr>
          <w:sz w:val="20"/>
          <w:szCs w:val="20"/>
        </w:rPr>
        <w:t>settlement</w:t>
      </w:r>
      <w:r w:rsidRPr="00376DB9">
        <w:rPr>
          <w:sz w:val="20"/>
          <w:szCs w:val="20"/>
        </w:rPr>
        <w:t>s</w:t>
      </w:r>
      <w:r w:rsidR="00AB7F6E" w:rsidRPr="00376DB9">
        <w:rPr>
          <w:sz w:val="20"/>
          <w:szCs w:val="20"/>
        </w:rPr>
        <w:t xml:space="preserve"> </w:t>
      </w:r>
      <w:r w:rsidRPr="00376DB9">
        <w:rPr>
          <w:sz w:val="20"/>
          <w:szCs w:val="20"/>
        </w:rPr>
        <w:t xml:space="preserve">and prudential information and requirements within the settlement </w:t>
      </w:r>
      <w:r w:rsidR="00AB7F6E" w:rsidRPr="00376DB9">
        <w:rPr>
          <w:sz w:val="20"/>
          <w:szCs w:val="20"/>
        </w:rPr>
        <w:t>timetable</w:t>
      </w:r>
      <w:r w:rsidR="004D6ED7" w:rsidRPr="00376DB9">
        <w:rPr>
          <w:sz w:val="20"/>
          <w:szCs w:val="20"/>
        </w:rPr>
        <w:t>.</w:t>
      </w:r>
      <w:bookmarkStart w:id="6" w:name="_Hlk7529097"/>
      <w:bookmarkEnd w:id="4"/>
    </w:p>
    <w:p w14:paraId="2C0E668B" w14:textId="53432CBF" w:rsidR="006E6E9C" w:rsidRPr="00376DB9" w:rsidRDefault="00A511AC" w:rsidP="004B121C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376DB9">
        <w:rPr>
          <w:sz w:val="20"/>
          <w:szCs w:val="20"/>
        </w:rPr>
        <w:t xml:space="preserve">The operation of the </w:t>
      </w:r>
      <w:r w:rsidR="00CD4F39" w:rsidRPr="00376DB9">
        <w:rPr>
          <w:sz w:val="20"/>
          <w:szCs w:val="20"/>
        </w:rPr>
        <w:t>NEM p</w:t>
      </w:r>
      <w:r w:rsidRPr="00376DB9">
        <w:rPr>
          <w:sz w:val="20"/>
          <w:szCs w:val="20"/>
        </w:rPr>
        <w:t xml:space="preserve">ower </w:t>
      </w:r>
      <w:r w:rsidR="00CD4F39" w:rsidRPr="00376DB9">
        <w:rPr>
          <w:sz w:val="20"/>
          <w:szCs w:val="20"/>
        </w:rPr>
        <w:t>s</w:t>
      </w:r>
      <w:r w:rsidRPr="00376DB9">
        <w:rPr>
          <w:sz w:val="20"/>
          <w:szCs w:val="20"/>
        </w:rPr>
        <w:t xml:space="preserve">ystem requires participants to have robust communication mechanisms and </w:t>
      </w:r>
      <w:r w:rsidR="008B054E" w:rsidRPr="00376DB9">
        <w:rPr>
          <w:sz w:val="20"/>
          <w:szCs w:val="20"/>
        </w:rPr>
        <w:t xml:space="preserve">24-hour </w:t>
      </w:r>
      <w:r w:rsidRPr="00376DB9">
        <w:rPr>
          <w:sz w:val="20"/>
          <w:szCs w:val="20"/>
        </w:rPr>
        <w:t xml:space="preserve">operational </w:t>
      </w:r>
      <w:r w:rsidR="00CD4F39" w:rsidRPr="00376DB9">
        <w:rPr>
          <w:sz w:val="20"/>
          <w:szCs w:val="20"/>
        </w:rPr>
        <w:t xml:space="preserve">response </w:t>
      </w:r>
      <w:r w:rsidRPr="00376DB9">
        <w:rPr>
          <w:sz w:val="20"/>
          <w:szCs w:val="20"/>
        </w:rPr>
        <w:t>capabilities in</w:t>
      </w:r>
      <w:r w:rsidR="00F25B7C" w:rsidRPr="00376DB9">
        <w:rPr>
          <w:sz w:val="20"/>
          <w:szCs w:val="20"/>
        </w:rPr>
        <w:t xml:space="preserve"> </w:t>
      </w:r>
      <w:r w:rsidRPr="00376DB9">
        <w:rPr>
          <w:sz w:val="20"/>
          <w:szCs w:val="20"/>
        </w:rPr>
        <w:t>place prior to registration</w:t>
      </w:r>
      <w:r w:rsidR="003F36F0" w:rsidRPr="00376DB9">
        <w:rPr>
          <w:sz w:val="20"/>
          <w:szCs w:val="20"/>
        </w:rPr>
        <w:t>:</w:t>
      </w:r>
      <w:r w:rsidR="006E6E9C" w:rsidRPr="00376DB9">
        <w:rPr>
          <w:sz w:val="20"/>
          <w:szCs w:val="20"/>
        </w:rPr>
        <w:t xml:space="preserve"> </w:t>
      </w:r>
    </w:p>
    <w:bookmarkEnd w:id="6"/>
    <w:p w14:paraId="6CF7951F" w14:textId="7C2904E1" w:rsidR="00426DB8" w:rsidRPr="00376DB9" w:rsidRDefault="251D33E1" w:rsidP="00B805C3">
      <w:pPr>
        <w:pStyle w:val="ListParagraph"/>
        <w:numPr>
          <w:ilvl w:val="0"/>
          <w:numId w:val="4"/>
        </w:numPr>
        <w:rPr>
          <w:color w:val="222324" w:themeColor="text1"/>
          <w:sz w:val="20"/>
          <w:szCs w:val="20"/>
        </w:rPr>
      </w:pPr>
      <w:r w:rsidRPr="0485066F">
        <w:rPr>
          <w:sz w:val="20"/>
          <w:szCs w:val="20"/>
        </w:rPr>
        <w:t xml:space="preserve">Some of the </w:t>
      </w:r>
      <w:r w:rsidR="5B1252F3" w:rsidRPr="0485066F">
        <w:rPr>
          <w:sz w:val="20"/>
          <w:szCs w:val="20"/>
        </w:rPr>
        <w:t xml:space="preserve">key </w:t>
      </w:r>
      <w:r w:rsidR="7048E078" w:rsidRPr="0485066F">
        <w:rPr>
          <w:sz w:val="20"/>
          <w:szCs w:val="20"/>
        </w:rPr>
        <w:t xml:space="preserve">DRSP </w:t>
      </w:r>
      <w:r w:rsidR="5B1252F3" w:rsidRPr="0485066F">
        <w:rPr>
          <w:sz w:val="20"/>
          <w:szCs w:val="20"/>
        </w:rPr>
        <w:t xml:space="preserve">obligations </w:t>
      </w:r>
      <w:r w:rsidR="1C0A27AE" w:rsidRPr="0485066F">
        <w:rPr>
          <w:sz w:val="20"/>
          <w:szCs w:val="20"/>
        </w:rPr>
        <w:t xml:space="preserve">in </w:t>
      </w:r>
      <w:r w:rsidR="5B1252F3" w:rsidRPr="0485066F">
        <w:rPr>
          <w:sz w:val="20"/>
          <w:szCs w:val="20"/>
        </w:rPr>
        <w:t xml:space="preserve">the NER </w:t>
      </w:r>
      <w:r w:rsidRPr="0485066F">
        <w:rPr>
          <w:sz w:val="20"/>
          <w:szCs w:val="20"/>
        </w:rPr>
        <w:t>include</w:t>
      </w:r>
      <w:r w:rsidR="102C5CF0" w:rsidRPr="0485066F">
        <w:rPr>
          <w:sz w:val="20"/>
          <w:szCs w:val="20"/>
        </w:rPr>
        <w:t>s</w:t>
      </w:r>
      <w:r w:rsidR="4C26512A" w:rsidRPr="0485066F">
        <w:rPr>
          <w:sz w:val="20"/>
          <w:szCs w:val="20"/>
        </w:rPr>
        <w:t xml:space="preserve"> </w:t>
      </w:r>
      <w:bookmarkStart w:id="7" w:name="_Hlk7530195"/>
      <w:bookmarkStart w:id="8" w:name="_Hlk7530215"/>
      <w:bookmarkEnd w:id="7"/>
      <w:r w:rsidR="49333848" w:rsidRPr="0485066F">
        <w:rPr>
          <w:color w:val="222324" w:themeColor="text1"/>
          <w:sz w:val="20"/>
          <w:szCs w:val="20"/>
        </w:rPr>
        <w:t>NER clauses NER 2.3</w:t>
      </w:r>
      <w:r w:rsidR="3DE36EDA" w:rsidRPr="0485066F">
        <w:rPr>
          <w:color w:val="222324" w:themeColor="text1"/>
          <w:sz w:val="20"/>
          <w:szCs w:val="20"/>
        </w:rPr>
        <w:t>D.1(f)(2)</w:t>
      </w:r>
      <w:r w:rsidR="49333848" w:rsidRPr="0485066F">
        <w:rPr>
          <w:color w:val="222324" w:themeColor="text1"/>
          <w:sz w:val="20"/>
          <w:szCs w:val="20"/>
        </w:rPr>
        <w:t>) and 2.3.6(e)(4</w:t>
      </w:r>
      <w:r w:rsidR="0C512F33" w:rsidRPr="0485066F">
        <w:rPr>
          <w:color w:val="222324" w:themeColor="text1"/>
          <w:sz w:val="20"/>
          <w:szCs w:val="20"/>
        </w:rPr>
        <w:t>)</w:t>
      </w:r>
      <w:r w:rsidR="76BF3729" w:rsidRPr="0485066F">
        <w:rPr>
          <w:color w:val="222324" w:themeColor="text1"/>
          <w:sz w:val="20"/>
          <w:szCs w:val="20"/>
        </w:rPr>
        <w:t xml:space="preserve">, which </w:t>
      </w:r>
      <w:r w:rsidR="49333848" w:rsidRPr="0485066F">
        <w:rPr>
          <w:color w:val="222324" w:themeColor="text1"/>
          <w:sz w:val="20"/>
          <w:szCs w:val="20"/>
        </w:rPr>
        <w:t xml:space="preserve">require the DRSP to have adequate communications and/or telemetry in place to support the issuing of dispatch </w:t>
      </w:r>
      <w:proofErr w:type="gramStart"/>
      <w:r w:rsidR="49333848" w:rsidRPr="0485066F">
        <w:rPr>
          <w:color w:val="222324" w:themeColor="text1"/>
          <w:sz w:val="20"/>
          <w:szCs w:val="20"/>
        </w:rPr>
        <w:t xml:space="preserve">instructions </w:t>
      </w:r>
      <w:r w:rsidR="19A4CC1F" w:rsidRPr="0485066F">
        <w:rPr>
          <w:color w:val="222324" w:themeColor="text1"/>
          <w:sz w:val="20"/>
          <w:szCs w:val="20"/>
        </w:rPr>
        <w:t xml:space="preserve"> </w:t>
      </w:r>
      <w:r w:rsidR="0E5FAED2" w:rsidRPr="0485066F">
        <w:rPr>
          <w:color w:val="222324" w:themeColor="text1"/>
          <w:sz w:val="20"/>
          <w:szCs w:val="20"/>
        </w:rPr>
        <w:t>with</w:t>
      </w:r>
      <w:proofErr w:type="gramEnd"/>
      <w:r w:rsidR="0E5FAED2" w:rsidRPr="0485066F">
        <w:rPr>
          <w:color w:val="222324" w:themeColor="text1"/>
          <w:sz w:val="20"/>
          <w:szCs w:val="20"/>
        </w:rPr>
        <w:t xml:space="preserve"> </w:t>
      </w:r>
      <w:r w:rsidR="6660390D" w:rsidRPr="0485066F">
        <w:rPr>
          <w:color w:val="222324" w:themeColor="text1"/>
          <w:sz w:val="20"/>
          <w:szCs w:val="20"/>
        </w:rPr>
        <w:t>specific requirements</w:t>
      </w:r>
      <w:r w:rsidR="0E5FAED2" w:rsidRPr="0485066F">
        <w:rPr>
          <w:color w:val="222324" w:themeColor="text1"/>
          <w:sz w:val="20"/>
          <w:szCs w:val="20"/>
        </w:rPr>
        <w:t xml:space="preserve"> for WDRUs outlined in the WDR Guidelines</w:t>
      </w:r>
      <w:r w:rsidR="7054757B" w:rsidRPr="0485066F">
        <w:rPr>
          <w:color w:val="222324" w:themeColor="text1"/>
          <w:sz w:val="20"/>
          <w:szCs w:val="20"/>
        </w:rPr>
        <w:t>.</w:t>
      </w:r>
    </w:p>
    <w:p w14:paraId="0DC605BF" w14:textId="62366F0C" w:rsidR="006E6E9C" w:rsidRPr="00376DB9" w:rsidRDefault="385799E2" w:rsidP="00B805C3">
      <w:pPr>
        <w:numPr>
          <w:ilvl w:val="0"/>
          <w:numId w:val="4"/>
        </w:numPr>
        <w:rPr>
          <w:color w:val="222324" w:themeColor="text1"/>
          <w:sz w:val="20"/>
          <w:szCs w:val="20"/>
        </w:rPr>
      </w:pPr>
      <w:r w:rsidRPr="0485066F">
        <w:rPr>
          <w:color w:val="222324" w:themeColor="text1"/>
          <w:sz w:val="20"/>
          <w:szCs w:val="20"/>
        </w:rPr>
        <w:t xml:space="preserve">Accordingly, the DRSP </w:t>
      </w:r>
      <w:r w:rsidR="578EE5C7" w:rsidRPr="0485066F">
        <w:rPr>
          <w:color w:val="222324" w:themeColor="text1"/>
          <w:sz w:val="20"/>
          <w:szCs w:val="20"/>
        </w:rPr>
        <w:t>must</w:t>
      </w:r>
      <w:r w:rsidR="460EB5B4" w:rsidRPr="0485066F">
        <w:rPr>
          <w:color w:val="222324" w:themeColor="text1"/>
          <w:sz w:val="20"/>
          <w:szCs w:val="20"/>
        </w:rPr>
        <w:t xml:space="preserve"> provide the details which are required in the Application Form.</w:t>
      </w:r>
    </w:p>
    <w:p w14:paraId="030C36F9" w14:textId="77777777" w:rsidR="006E6E9C" w:rsidRPr="00376DB9" w:rsidRDefault="006E6E9C" w:rsidP="005F612E">
      <w:pPr>
        <w:pStyle w:val="ListParagraph"/>
        <w:ind w:left="851"/>
        <w:rPr>
          <w:sz w:val="20"/>
          <w:szCs w:val="20"/>
        </w:rPr>
      </w:pPr>
    </w:p>
    <w:bookmarkEnd w:id="8"/>
    <w:p w14:paraId="6B295670" w14:textId="277B8763" w:rsidR="00E70CA2" w:rsidRDefault="00E70CA2" w:rsidP="004D6ED7">
      <w:pPr>
        <w:pStyle w:val="ListParagraph"/>
        <w:numPr>
          <w:ilvl w:val="0"/>
          <w:numId w:val="2"/>
        </w:numPr>
        <w:ind w:left="425" w:hanging="425"/>
        <w:contextualSpacing w:val="0"/>
        <w:rPr>
          <w:sz w:val="20"/>
          <w:szCs w:val="20"/>
        </w:rPr>
      </w:pPr>
      <w:r w:rsidRPr="00376DB9">
        <w:rPr>
          <w:sz w:val="20"/>
          <w:szCs w:val="20"/>
        </w:rPr>
        <w:t>Th</w:t>
      </w:r>
      <w:r w:rsidR="00CD4F39" w:rsidRPr="00376DB9">
        <w:rPr>
          <w:sz w:val="20"/>
          <w:szCs w:val="20"/>
        </w:rPr>
        <w:t xml:space="preserve">is document </w:t>
      </w:r>
      <w:r w:rsidRPr="00376DB9">
        <w:rPr>
          <w:sz w:val="20"/>
          <w:szCs w:val="20"/>
        </w:rPr>
        <w:t>is not a</w:t>
      </w:r>
      <w:r w:rsidR="0020278C" w:rsidRPr="00376DB9">
        <w:rPr>
          <w:sz w:val="20"/>
          <w:szCs w:val="20"/>
        </w:rPr>
        <w:t>n</w:t>
      </w:r>
      <w:r w:rsidRPr="00376DB9">
        <w:rPr>
          <w:sz w:val="20"/>
          <w:szCs w:val="20"/>
        </w:rPr>
        <w:t xml:space="preserve"> </w:t>
      </w:r>
      <w:r w:rsidR="0020278C" w:rsidRPr="00376DB9">
        <w:rPr>
          <w:sz w:val="20"/>
          <w:szCs w:val="20"/>
        </w:rPr>
        <w:t xml:space="preserve">exhaustive </w:t>
      </w:r>
      <w:r w:rsidRPr="00376DB9">
        <w:rPr>
          <w:sz w:val="20"/>
          <w:szCs w:val="20"/>
        </w:rPr>
        <w:t>list</w:t>
      </w:r>
      <w:r w:rsidR="00322132" w:rsidRPr="00376DB9">
        <w:rPr>
          <w:sz w:val="20"/>
          <w:szCs w:val="20"/>
        </w:rPr>
        <w:t xml:space="preserve"> </w:t>
      </w:r>
      <w:r w:rsidR="00CD4F39" w:rsidRPr="00376DB9">
        <w:rPr>
          <w:sz w:val="20"/>
          <w:szCs w:val="20"/>
        </w:rPr>
        <w:t xml:space="preserve">of obligations </w:t>
      </w:r>
      <w:r w:rsidR="00322132" w:rsidRPr="00376DB9">
        <w:rPr>
          <w:sz w:val="20"/>
          <w:szCs w:val="20"/>
        </w:rPr>
        <w:t xml:space="preserve">but </w:t>
      </w:r>
      <w:r w:rsidR="0020278C" w:rsidRPr="00376DB9">
        <w:rPr>
          <w:sz w:val="20"/>
          <w:szCs w:val="20"/>
        </w:rPr>
        <w:t xml:space="preserve">identifies </w:t>
      </w:r>
      <w:r w:rsidR="00322132" w:rsidRPr="00376DB9">
        <w:rPr>
          <w:sz w:val="20"/>
          <w:szCs w:val="20"/>
        </w:rPr>
        <w:t xml:space="preserve">the </w:t>
      </w:r>
      <w:r w:rsidR="00CD4F39" w:rsidRPr="00376DB9">
        <w:rPr>
          <w:sz w:val="20"/>
          <w:szCs w:val="20"/>
        </w:rPr>
        <w:t>general</w:t>
      </w:r>
      <w:r w:rsidR="00322132" w:rsidRPr="00376DB9">
        <w:rPr>
          <w:sz w:val="20"/>
          <w:szCs w:val="20"/>
        </w:rPr>
        <w:t xml:space="preserve"> capabilities </w:t>
      </w:r>
      <w:r w:rsidR="0020278C" w:rsidRPr="00376DB9">
        <w:rPr>
          <w:sz w:val="20"/>
          <w:szCs w:val="20"/>
        </w:rPr>
        <w:t xml:space="preserve">Applicants </w:t>
      </w:r>
      <w:r w:rsidR="00322132" w:rsidRPr="00376DB9">
        <w:rPr>
          <w:sz w:val="20"/>
          <w:szCs w:val="20"/>
        </w:rPr>
        <w:t>require to meet their NER obligations</w:t>
      </w:r>
      <w:r w:rsidRPr="00376DB9">
        <w:rPr>
          <w:sz w:val="20"/>
          <w:szCs w:val="20"/>
        </w:rPr>
        <w:t>.</w:t>
      </w:r>
      <w:r w:rsidR="00292BB4" w:rsidRPr="00376DB9">
        <w:rPr>
          <w:rStyle w:val="FootnoteReference"/>
          <w:sz w:val="20"/>
          <w:szCs w:val="20"/>
        </w:rPr>
        <w:footnoteReference w:id="2"/>
      </w:r>
      <w:r w:rsidR="004D6ED7" w:rsidRPr="00376DB9">
        <w:rPr>
          <w:sz w:val="20"/>
          <w:szCs w:val="20"/>
        </w:rPr>
        <w:t xml:space="preserve"> Each registered </w:t>
      </w:r>
      <w:r w:rsidR="00EC1911" w:rsidRPr="00376DB9">
        <w:rPr>
          <w:sz w:val="20"/>
          <w:szCs w:val="20"/>
        </w:rPr>
        <w:t>DRSP</w:t>
      </w:r>
      <w:r w:rsidR="00972F3E" w:rsidRPr="00376DB9">
        <w:rPr>
          <w:sz w:val="20"/>
          <w:szCs w:val="20"/>
        </w:rPr>
        <w:t xml:space="preserve"> </w:t>
      </w:r>
      <w:r w:rsidR="004D6ED7" w:rsidRPr="00376DB9">
        <w:rPr>
          <w:sz w:val="20"/>
          <w:szCs w:val="20"/>
        </w:rPr>
        <w:t>is responsible for maintaining current awareness of its regulatory obligations and ensuring it is able to comply with them.</w:t>
      </w:r>
    </w:p>
    <w:p w14:paraId="00F447A7" w14:textId="77777777" w:rsidR="003A6E4D" w:rsidRPr="00376DB9" w:rsidRDefault="003A6E4D" w:rsidP="003A6E4D">
      <w:pPr>
        <w:pStyle w:val="ListParagraph"/>
        <w:ind w:left="425"/>
        <w:contextualSpacing w:val="0"/>
        <w:rPr>
          <w:sz w:val="20"/>
          <w:szCs w:val="20"/>
        </w:rPr>
      </w:pPr>
    </w:p>
    <w:p w14:paraId="4190872F" w14:textId="24603BD1" w:rsidR="004D6ED7" w:rsidRPr="00376DB9" w:rsidRDefault="004D6ED7" w:rsidP="00850AE9">
      <w:pPr>
        <w:rPr>
          <w:sz w:val="20"/>
          <w:szCs w:val="20"/>
        </w:rPr>
      </w:pPr>
      <w:r w:rsidRPr="009F6669">
        <w:rPr>
          <w:sz w:val="20"/>
          <w:szCs w:val="20"/>
        </w:rPr>
        <w:t>I</w:t>
      </w:r>
      <w:r w:rsidR="00935D47" w:rsidRPr="009F6669">
        <w:rPr>
          <w:sz w:val="20"/>
          <w:szCs w:val="20"/>
        </w:rPr>
        <w:t>,</w:t>
      </w:r>
      <w:r w:rsidR="009F6669" w:rsidRPr="009F6669">
        <w:rPr>
          <w:sz w:val="20"/>
          <w:szCs w:val="20"/>
        </w:rPr>
        <w:t xml:space="preserve"> </w:t>
      </w:r>
      <w:r w:rsidR="009F6669" w:rsidRPr="009F6669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&lt;Full Name&gt;"/>
            </w:textInput>
          </w:ffData>
        </w:fldChar>
      </w:r>
      <w:bookmarkStart w:id="9" w:name="Text6"/>
      <w:r w:rsidR="009F6669" w:rsidRPr="009F6669">
        <w:rPr>
          <w:sz w:val="20"/>
          <w:szCs w:val="20"/>
        </w:rPr>
        <w:instrText xml:space="preserve"> FORMTEXT </w:instrText>
      </w:r>
      <w:r w:rsidR="009F6669" w:rsidRPr="009F6669">
        <w:rPr>
          <w:sz w:val="20"/>
          <w:szCs w:val="20"/>
        </w:rPr>
      </w:r>
      <w:r w:rsidR="009F6669" w:rsidRPr="009F6669">
        <w:rPr>
          <w:sz w:val="20"/>
          <w:szCs w:val="20"/>
        </w:rPr>
        <w:fldChar w:fldCharType="separate"/>
      </w:r>
      <w:r w:rsidR="009F6669" w:rsidRPr="009F6669">
        <w:rPr>
          <w:noProof/>
          <w:sz w:val="20"/>
          <w:szCs w:val="20"/>
        </w:rPr>
        <w:t>&lt;Full Name&gt;</w:t>
      </w:r>
      <w:r w:rsidR="009F6669" w:rsidRPr="009F6669">
        <w:rPr>
          <w:sz w:val="20"/>
          <w:szCs w:val="20"/>
        </w:rPr>
        <w:fldChar w:fldCharType="end"/>
      </w:r>
      <w:bookmarkEnd w:id="9"/>
      <w:r w:rsidR="009F6669" w:rsidRPr="009F6669">
        <w:rPr>
          <w:sz w:val="20"/>
          <w:szCs w:val="20"/>
        </w:rPr>
        <w:t xml:space="preserve">, </w:t>
      </w:r>
      <w:r w:rsidR="009F6669" w:rsidRPr="009F6669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>
              <w:default w:val="&lt;Position&gt;"/>
            </w:textInput>
          </w:ffData>
        </w:fldChar>
      </w:r>
      <w:bookmarkStart w:id="10" w:name="Text7"/>
      <w:r w:rsidR="009F6669" w:rsidRPr="009F6669">
        <w:rPr>
          <w:sz w:val="20"/>
          <w:szCs w:val="20"/>
        </w:rPr>
        <w:instrText xml:space="preserve"> FORMTEXT </w:instrText>
      </w:r>
      <w:r w:rsidR="009F6669" w:rsidRPr="009F6669">
        <w:rPr>
          <w:sz w:val="20"/>
          <w:szCs w:val="20"/>
        </w:rPr>
      </w:r>
      <w:r w:rsidR="009F6669" w:rsidRPr="009F6669">
        <w:rPr>
          <w:sz w:val="20"/>
          <w:szCs w:val="20"/>
        </w:rPr>
        <w:fldChar w:fldCharType="separate"/>
      </w:r>
      <w:r w:rsidR="009F6669" w:rsidRPr="009F6669">
        <w:rPr>
          <w:noProof/>
          <w:sz w:val="20"/>
          <w:szCs w:val="20"/>
        </w:rPr>
        <w:t>&lt;Position&gt;</w:t>
      </w:r>
      <w:r w:rsidR="009F6669" w:rsidRPr="009F6669">
        <w:rPr>
          <w:sz w:val="20"/>
          <w:szCs w:val="20"/>
        </w:rPr>
        <w:fldChar w:fldCharType="end"/>
      </w:r>
      <w:bookmarkEnd w:id="10"/>
      <w:r w:rsidR="009F6669" w:rsidRPr="009F6669">
        <w:rPr>
          <w:sz w:val="20"/>
          <w:szCs w:val="20"/>
        </w:rPr>
        <w:t>,</w:t>
      </w:r>
      <w:r w:rsidRPr="009F6669">
        <w:rPr>
          <w:sz w:val="20"/>
          <w:szCs w:val="20"/>
        </w:rPr>
        <w:t xml:space="preserve"> declare</w:t>
      </w:r>
      <w:r w:rsidRPr="00376DB9">
        <w:rPr>
          <w:sz w:val="20"/>
          <w:szCs w:val="20"/>
        </w:rPr>
        <w:t xml:space="preserve"> that the Applicant has</w:t>
      </w:r>
      <w:r w:rsidR="00CD4F39" w:rsidRPr="00376DB9">
        <w:rPr>
          <w:sz w:val="20"/>
          <w:szCs w:val="20"/>
        </w:rPr>
        <w:t xml:space="preserve"> </w:t>
      </w:r>
      <w:r w:rsidR="00672EF1" w:rsidRPr="00376DB9">
        <w:rPr>
          <w:sz w:val="20"/>
          <w:szCs w:val="20"/>
        </w:rPr>
        <w:t xml:space="preserve">established prior to registration, </w:t>
      </w:r>
      <w:r w:rsidR="00CD4F39" w:rsidRPr="00376DB9">
        <w:rPr>
          <w:sz w:val="20"/>
          <w:szCs w:val="20"/>
        </w:rPr>
        <w:t>and will maintain</w:t>
      </w:r>
      <w:r w:rsidR="00672EF1" w:rsidRPr="00376DB9">
        <w:rPr>
          <w:sz w:val="20"/>
          <w:szCs w:val="20"/>
        </w:rPr>
        <w:t xml:space="preserve"> while registered</w:t>
      </w:r>
      <w:r w:rsidRPr="00376DB9">
        <w:rPr>
          <w:sz w:val="20"/>
          <w:szCs w:val="20"/>
        </w:rPr>
        <w:t xml:space="preserve">, all necessary capabilities for compliance with the </w:t>
      </w:r>
      <w:r w:rsidR="0020278C" w:rsidRPr="00376DB9">
        <w:rPr>
          <w:sz w:val="20"/>
          <w:szCs w:val="20"/>
        </w:rPr>
        <w:t>NER</w:t>
      </w:r>
      <w:r w:rsidRPr="00376DB9">
        <w:rPr>
          <w:sz w:val="20"/>
          <w:szCs w:val="20"/>
        </w:rPr>
        <w:t xml:space="preserve"> as a </w:t>
      </w:r>
      <w:r w:rsidR="00EC1911" w:rsidRPr="00376DB9">
        <w:rPr>
          <w:sz w:val="20"/>
          <w:szCs w:val="20"/>
        </w:rPr>
        <w:t xml:space="preserve">DRSP </w:t>
      </w:r>
      <w:r w:rsidRPr="00376DB9">
        <w:rPr>
          <w:sz w:val="20"/>
          <w:szCs w:val="20"/>
        </w:rPr>
        <w:t>in the NEM.</w:t>
      </w:r>
      <w:r w:rsidR="00292BB4" w:rsidRPr="00376DB9">
        <w:rPr>
          <w:sz w:val="20"/>
          <w:szCs w:val="20"/>
        </w:rPr>
        <w:t xml:space="preserve"> I also understand that </w:t>
      </w:r>
      <w:r w:rsidR="00672EF1" w:rsidRPr="00376DB9">
        <w:rPr>
          <w:sz w:val="20"/>
          <w:szCs w:val="20"/>
        </w:rPr>
        <w:t>failure to meet NER obligations may result in</w:t>
      </w:r>
      <w:r w:rsidR="00AB6D95" w:rsidRPr="00376DB9">
        <w:rPr>
          <w:sz w:val="20"/>
          <w:szCs w:val="20"/>
        </w:rPr>
        <w:t xml:space="preserve"> consequences inclu</w:t>
      </w:r>
      <w:r w:rsidR="009C6C01" w:rsidRPr="00376DB9">
        <w:rPr>
          <w:sz w:val="20"/>
          <w:szCs w:val="20"/>
        </w:rPr>
        <w:t>ding</w:t>
      </w:r>
      <w:r w:rsidR="00672EF1" w:rsidRPr="00376DB9">
        <w:rPr>
          <w:sz w:val="20"/>
          <w:szCs w:val="20"/>
        </w:rPr>
        <w:t xml:space="preserve"> action by the AER.</w:t>
      </w:r>
    </w:p>
    <w:tbl>
      <w:tblPr>
        <w:tblStyle w:val="AEMO2"/>
        <w:tblW w:w="0" w:type="auto"/>
        <w:tblLook w:val="0600" w:firstRow="0" w:lastRow="0" w:firstColumn="0" w:lastColumn="0" w:noHBand="1" w:noVBand="1"/>
      </w:tblPr>
      <w:tblGrid>
        <w:gridCol w:w="1095"/>
        <w:gridCol w:w="4768"/>
        <w:gridCol w:w="833"/>
        <w:gridCol w:w="2330"/>
      </w:tblGrid>
      <w:tr w:rsidR="003A6E4D" w:rsidRPr="003A6E4D" w14:paraId="1F7B9075" w14:textId="77777777" w:rsidTr="0485066F">
        <w:trPr>
          <w:trHeight w:val="567"/>
        </w:trPr>
        <w:tc>
          <w:tcPr>
            <w:tcW w:w="1104" w:type="dxa"/>
            <w:vAlign w:val="center"/>
          </w:tcPr>
          <w:p w14:paraId="25869C1F" w14:textId="77777777" w:rsidR="003A6E4D" w:rsidRPr="003A6E4D" w:rsidRDefault="003A6E4D" w:rsidP="003A6E4D">
            <w:pPr>
              <w:spacing w:before="80" w:after="80"/>
              <w:ind w:left="-6"/>
              <w:rPr>
                <w:rFonts w:eastAsia="Calibri" w:cstheme="minorHAnsi"/>
                <w:color w:val="360F3C" w:themeColor="accent2"/>
                <w:sz w:val="20"/>
                <w:szCs w:val="20"/>
                <w:lang w:val="en-US"/>
              </w:rPr>
            </w:pPr>
            <w:r w:rsidRPr="003A6E4D">
              <w:rPr>
                <w:rFonts w:eastAsia="Calibri" w:cstheme="minorHAnsi"/>
                <w:color w:val="360F3C" w:themeColor="accent2"/>
                <w:sz w:val="20"/>
                <w:szCs w:val="20"/>
                <w:lang w:val="en-US"/>
              </w:rPr>
              <w:t>Signature:</w:t>
            </w:r>
          </w:p>
        </w:tc>
        <w:tc>
          <w:tcPr>
            <w:tcW w:w="5050" w:type="dxa"/>
            <w:vAlign w:val="center"/>
          </w:tcPr>
          <w:p w14:paraId="38202435" w14:textId="77777777" w:rsidR="003A6E4D" w:rsidRPr="003A6E4D" w:rsidRDefault="003A6E4D" w:rsidP="003A6E4D">
            <w:pPr>
              <w:spacing w:before="80" w:after="80"/>
              <w:ind w:left="-6"/>
              <w:rPr>
                <w:rFonts w:eastAsia="Calibri" w:cstheme="minorHAnsi"/>
                <w:color w:val="360F3C" w:themeColor="accent2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vAlign w:val="center"/>
          </w:tcPr>
          <w:p w14:paraId="4419E204" w14:textId="77777777" w:rsidR="003A6E4D" w:rsidRPr="003A6E4D" w:rsidRDefault="003A6E4D" w:rsidP="003A6E4D">
            <w:pPr>
              <w:spacing w:before="80" w:after="80"/>
              <w:ind w:left="-6"/>
              <w:rPr>
                <w:rFonts w:eastAsia="Calibri" w:cstheme="minorHAnsi"/>
                <w:color w:val="360F3C" w:themeColor="accent2"/>
                <w:sz w:val="20"/>
                <w:szCs w:val="20"/>
                <w:lang w:val="en-US"/>
              </w:rPr>
            </w:pPr>
            <w:r w:rsidRPr="003A6E4D">
              <w:rPr>
                <w:rFonts w:eastAsia="Calibri" w:cstheme="minorHAnsi"/>
                <w:color w:val="360F3C" w:themeColor="accent2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406" w:type="dxa"/>
            <w:vAlign w:val="center"/>
          </w:tcPr>
          <w:p w14:paraId="30008859" w14:textId="0708865F" w:rsidR="003A6E4D" w:rsidRPr="003A6E4D" w:rsidRDefault="003A6E4D" w:rsidP="0485066F">
            <w:pPr>
              <w:spacing w:before="80" w:after="80"/>
              <w:ind w:left="-6"/>
              <w:rPr>
                <w:rFonts w:eastAsia="Calibri"/>
                <w:noProof/>
                <w:color w:val="360F3C" w:themeColor="accent2"/>
                <w:sz w:val="20"/>
                <w:szCs w:val="20"/>
                <w:lang w:val="en-US"/>
              </w:rPr>
            </w:pPr>
            <w:r w:rsidRPr="0485066F">
              <w:rPr>
                <w:rFonts w:eastAsia="Calibri"/>
                <w:color w:val="2B579A"/>
                <w:sz w:val="20"/>
                <w:szCs w:val="20"/>
                <w:lang w:val="en-US"/>
              </w:rPr>
              <w:fldChar w:fldCharType="begin"/>
            </w:r>
            <w:r w:rsidRPr="0485066F">
              <w:rPr>
                <w:rFonts w:eastAsia="Calibri"/>
                <w:color w:val="360F3C" w:themeColor="accent2"/>
                <w:sz w:val="20"/>
                <w:szCs w:val="20"/>
                <w:lang w:val="en-US"/>
              </w:rPr>
              <w:instrText xml:space="preserve"> DATE \@ "d/MM/yyyy" </w:instrText>
            </w:r>
            <w:r w:rsidRPr="0485066F">
              <w:rPr>
                <w:rFonts w:eastAsia="Calibri"/>
                <w:color w:val="2B579A"/>
                <w:sz w:val="20"/>
                <w:szCs w:val="20"/>
                <w:lang w:val="en-US"/>
              </w:rPr>
              <w:fldChar w:fldCharType="separate"/>
            </w:r>
            <w:r w:rsidR="00B805C3">
              <w:rPr>
                <w:rFonts w:eastAsia="Calibri"/>
                <w:noProof/>
                <w:color w:val="360F3C" w:themeColor="accent2"/>
                <w:sz w:val="20"/>
                <w:szCs w:val="20"/>
                <w:lang w:val="en-US"/>
              </w:rPr>
              <w:t>23/05/2024</w:t>
            </w:r>
            <w:r w:rsidRPr="0485066F">
              <w:rPr>
                <w:rFonts w:eastAsia="Calibri"/>
                <w:color w:val="2B579A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19E1E4B6" w14:textId="7040AF89" w:rsidR="00850AE9" w:rsidRPr="00376DB9" w:rsidRDefault="00850AE9" w:rsidP="00850AE9">
      <w:pPr>
        <w:rPr>
          <w:sz w:val="20"/>
          <w:szCs w:val="20"/>
        </w:rPr>
      </w:pPr>
    </w:p>
    <w:sectPr w:rsidR="00850AE9" w:rsidRPr="00376DB9" w:rsidSect="004F3291">
      <w:headerReference w:type="default" r:id="rId12"/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65CB" w14:textId="77777777" w:rsidR="003661BD" w:rsidRDefault="003661BD" w:rsidP="009A027E">
      <w:pPr>
        <w:spacing w:after="0" w:line="240" w:lineRule="auto"/>
      </w:pPr>
      <w:r>
        <w:separator/>
      </w:r>
    </w:p>
  </w:endnote>
  <w:endnote w:type="continuationSeparator" w:id="0">
    <w:p w14:paraId="5B20ED86" w14:textId="77777777" w:rsidR="003661BD" w:rsidRDefault="003661BD" w:rsidP="009A027E">
      <w:pPr>
        <w:spacing w:after="0" w:line="240" w:lineRule="auto"/>
      </w:pPr>
      <w:r>
        <w:continuationSeparator/>
      </w:r>
    </w:p>
  </w:endnote>
  <w:endnote w:type="continuationNotice" w:id="1">
    <w:p w14:paraId="0CBC1743" w14:textId="77777777" w:rsidR="003661BD" w:rsidRDefault="00366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AF63" w14:textId="4A05B68A" w:rsidR="009A027E" w:rsidRPr="004F3291" w:rsidRDefault="009A027E" w:rsidP="004F3291">
    <w:pPr>
      <w:tabs>
        <w:tab w:val="center" w:pos="4513"/>
        <w:tab w:val="right" w:pos="9026"/>
      </w:tabs>
      <w:spacing w:after="0" w:line="240" w:lineRule="auto"/>
      <w:rPr>
        <w:rFonts w:eastAsiaTheme="minorEastAsia" w:cs="Arial Unicode MS"/>
        <w:bCs/>
        <w:color w:val="222324" w:themeColor="text1"/>
        <w:sz w:val="16"/>
        <w:szCs w:val="20"/>
        <w:lang w:eastAsia="ko-KR"/>
      </w:rPr>
    </w:pP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© AEMO </w:t>
    </w:r>
    <w:r w:rsidR="00441CAC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20</w:t>
    </w:r>
    <w:r w:rsidR="001E46B9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2</w:t>
    </w:r>
    <w:r w:rsidR="009C7DA6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>4</w:t>
    </w: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 </w:t>
    </w:r>
    <w:r w:rsidRPr="009A027E">
      <w:rPr>
        <w:rFonts w:eastAsiaTheme="minorEastAsia" w:cs="Arial Unicode MS"/>
        <w:bCs/>
        <w:color w:val="C41230" w:themeColor="accent1"/>
        <w:sz w:val="16"/>
        <w:szCs w:val="20"/>
        <w:lang w:eastAsia="ko-KR"/>
      </w:rPr>
      <w:t>|</w:t>
    </w:r>
    <w:r w:rsidRPr="009A027E">
      <w:rPr>
        <w:rFonts w:eastAsiaTheme="minorEastAsia" w:cs="Arial Unicode MS"/>
        <w:bCs/>
        <w:color w:val="222324" w:themeColor="text1"/>
        <w:sz w:val="16"/>
        <w:szCs w:val="20"/>
        <w:lang w:eastAsia="ko-KR"/>
      </w:rPr>
      <w:t xml:space="preserve"> </w:t>
    </w:r>
    <w:r w:rsidRPr="009A027E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Applica</w:t>
    </w:r>
    <w:r w:rsidR="003E6BF0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nt Capability Declaration</w:t>
    </w:r>
    <w:r w:rsidR="00DA6B86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 xml:space="preserve"> </w:t>
    </w:r>
    <w:r w:rsidR="00EB6EDF">
      <w:rPr>
        <w:rFonts w:eastAsiaTheme="minorEastAsia" w:cs="Arial Unicode MS"/>
        <w:bCs/>
        <w:noProof/>
        <w:color w:val="222324" w:themeColor="text1"/>
        <w:sz w:val="16"/>
        <w:szCs w:val="20"/>
        <w:lang w:eastAsia="ko-KR"/>
      </w:rPr>
      <w:t>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FDE6D" w14:textId="77777777" w:rsidR="003661BD" w:rsidRDefault="003661BD" w:rsidP="009A027E">
      <w:pPr>
        <w:spacing w:after="0" w:line="240" w:lineRule="auto"/>
      </w:pPr>
      <w:r>
        <w:separator/>
      </w:r>
    </w:p>
  </w:footnote>
  <w:footnote w:type="continuationSeparator" w:id="0">
    <w:p w14:paraId="64D27062" w14:textId="77777777" w:rsidR="003661BD" w:rsidRDefault="003661BD" w:rsidP="009A027E">
      <w:pPr>
        <w:spacing w:after="0" w:line="240" w:lineRule="auto"/>
      </w:pPr>
      <w:r>
        <w:continuationSeparator/>
      </w:r>
    </w:p>
  </w:footnote>
  <w:footnote w:type="continuationNotice" w:id="1">
    <w:p w14:paraId="208C73A8" w14:textId="77777777" w:rsidR="003661BD" w:rsidRDefault="003661BD">
      <w:pPr>
        <w:spacing w:after="0" w:line="240" w:lineRule="auto"/>
      </w:pPr>
    </w:p>
  </w:footnote>
  <w:footnote w:id="2">
    <w:p w14:paraId="221E8410" w14:textId="3B976C21" w:rsidR="00292BB4" w:rsidRDefault="00292BB4">
      <w:pPr>
        <w:pStyle w:val="FootnoteText"/>
      </w:pPr>
      <w:r w:rsidRPr="00EC1911">
        <w:rPr>
          <w:rStyle w:val="FootnoteReference"/>
        </w:rPr>
        <w:footnoteRef/>
      </w:r>
      <w:r w:rsidRPr="00EC1911">
        <w:t xml:space="preserve"> The compliance requirements outlined in this declaration and in AER’s </w:t>
      </w:r>
      <w:r w:rsidRPr="00EC1911">
        <w:rPr>
          <w:i/>
        </w:rPr>
        <w:t>Summer Readiness Checklist</w:t>
      </w:r>
      <w:r w:rsidRPr="00EC1911">
        <w:t xml:space="preserve"> </w:t>
      </w:r>
      <w:r w:rsidR="00441CAC" w:rsidRPr="00EC1911">
        <w:t xml:space="preserve">are intended to give </w:t>
      </w:r>
      <w:r w:rsidRPr="00EC1911">
        <w:t xml:space="preserve">a basic understanding of </w:t>
      </w:r>
      <w:r w:rsidR="00441CAC" w:rsidRPr="00EC1911">
        <w:t>key requirements.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5666" w14:textId="398099CC" w:rsidR="009A027E" w:rsidRDefault="00C96348">
    <w:pPr>
      <w:pStyle w:val="Header"/>
    </w:pPr>
    <w:r w:rsidRPr="00110745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1598EF91" wp14:editId="4DFEC9CA">
          <wp:simplePos x="0" y="0"/>
          <wp:positionH relativeFrom="page">
            <wp:posOffset>-28575</wp:posOffset>
          </wp:positionH>
          <wp:positionV relativeFrom="page">
            <wp:posOffset>-47625</wp:posOffset>
          </wp:positionV>
          <wp:extent cx="7559675" cy="2238375"/>
          <wp:effectExtent l="0" t="0" r="3175" b="9525"/>
          <wp:wrapNone/>
          <wp:docPr id="6" name="Picture 6" descr="A picture containing anim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Factsheet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2238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E2E"/>
    <w:multiLevelType w:val="hybridMultilevel"/>
    <w:tmpl w:val="B91E66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02C48"/>
    <w:multiLevelType w:val="hybridMultilevel"/>
    <w:tmpl w:val="E710FBB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734AF8"/>
    <w:multiLevelType w:val="hybridMultilevel"/>
    <w:tmpl w:val="A3E4D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61404"/>
    <w:multiLevelType w:val="hybridMultilevel"/>
    <w:tmpl w:val="1A045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B0788"/>
    <w:multiLevelType w:val="hybridMultilevel"/>
    <w:tmpl w:val="A57C19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E3BCA"/>
    <w:multiLevelType w:val="hybridMultilevel"/>
    <w:tmpl w:val="F5FA1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58946">
    <w:abstractNumId w:val="0"/>
  </w:num>
  <w:num w:numId="2" w16cid:durableId="1692681596">
    <w:abstractNumId w:val="4"/>
  </w:num>
  <w:num w:numId="3" w16cid:durableId="1158111022">
    <w:abstractNumId w:val="2"/>
  </w:num>
  <w:num w:numId="4" w16cid:durableId="1819298747">
    <w:abstractNumId w:val="1"/>
  </w:num>
  <w:num w:numId="5" w16cid:durableId="381561660">
    <w:abstractNumId w:val="3"/>
  </w:num>
  <w:num w:numId="6" w16cid:durableId="1398628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QbJMkoP0ht743U6qsOPIPhzkghBak+V6CJNDiAq4RU5AU6ylDCip7pk7gxmN5zwb5Ekbt7aNNIZeBmUzpjCJw==" w:salt="eVb/1Q06IGRKyZN2kqmKk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21"/>
    <w:rsid w:val="0002275A"/>
    <w:rsid w:val="00032189"/>
    <w:rsid w:val="000508B8"/>
    <w:rsid w:val="0005738D"/>
    <w:rsid w:val="00065267"/>
    <w:rsid w:val="000655A5"/>
    <w:rsid w:val="0008068E"/>
    <w:rsid w:val="000823F6"/>
    <w:rsid w:val="00084C35"/>
    <w:rsid w:val="00087F7A"/>
    <w:rsid w:val="000A4D12"/>
    <w:rsid w:val="000A6294"/>
    <w:rsid w:val="000B1950"/>
    <w:rsid w:val="000C2296"/>
    <w:rsid w:val="000D7789"/>
    <w:rsid w:val="000D7791"/>
    <w:rsid w:val="001102B5"/>
    <w:rsid w:val="0011509D"/>
    <w:rsid w:val="00120B3D"/>
    <w:rsid w:val="00121E81"/>
    <w:rsid w:val="00131B3D"/>
    <w:rsid w:val="00133BC4"/>
    <w:rsid w:val="00134992"/>
    <w:rsid w:val="00137408"/>
    <w:rsid w:val="001408FA"/>
    <w:rsid w:val="00142410"/>
    <w:rsid w:val="00144078"/>
    <w:rsid w:val="0014662A"/>
    <w:rsid w:val="0014680B"/>
    <w:rsid w:val="00147256"/>
    <w:rsid w:val="0015052B"/>
    <w:rsid w:val="0015452D"/>
    <w:rsid w:val="00160FF0"/>
    <w:rsid w:val="00165378"/>
    <w:rsid w:val="00192567"/>
    <w:rsid w:val="001B24E2"/>
    <w:rsid w:val="001B288E"/>
    <w:rsid w:val="001B6728"/>
    <w:rsid w:val="001D208D"/>
    <w:rsid w:val="001E46B9"/>
    <w:rsid w:val="0020278C"/>
    <w:rsid w:val="00214D71"/>
    <w:rsid w:val="002309A9"/>
    <w:rsid w:val="002416A1"/>
    <w:rsid w:val="0024470C"/>
    <w:rsid w:val="00244EAD"/>
    <w:rsid w:val="00246C23"/>
    <w:rsid w:val="00251A1B"/>
    <w:rsid w:val="00260869"/>
    <w:rsid w:val="00266EB4"/>
    <w:rsid w:val="002750B6"/>
    <w:rsid w:val="00277B7F"/>
    <w:rsid w:val="00283C27"/>
    <w:rsid w:val="00292BB4"/>
    <w:rsid w:val="002970C8"/>
    <w:rsid w:val="0029778E"/>
    <w:rsid w:val="002A1C30"/>
    <w:rsid w:val="002B5175"/>
    <w:rsid w:val="002C721C"/>
    <w:rsid w:val="002D2BD2"/>
    <w:rsid w:val="002F4675"/>
    <w:rsid w:val="00302D2F"/>
    <w:rsid w:val="00321F64"/>
    <w:rsid w:val="00322132"/>
    <w:rsid w:val="00335E5E"/>
    <w:rsid w:val="00342B78"/>
    <w:rsid w:val="00345672"/>
    <w:rsid w:val="0034728E"/>
    <w:rsid w:val="00356F29"/>
    <w:rsid w:val="003661BD"/>
    <w:rsid w:val="00376DB9"/>
    <w:rsid w:val="0038550F"/>
    <w:rsid w:val="003A14B6"/>
    <w:rsid w:val="003A1EEF"/>
    <w:rsid w:val="003A3624"/>
    <w:rsid w:val="003A5EC3"/>
    <w:rsid w:val="003A6E4D"/>
    <w:rsid w:val="003C6293"/>
    <w:rsid w:val="003E4E71"/>
    <w:rsid w:val="003E5C09"/>
    <w:rsid w:val="003E5F09"/>
    <w:rsid w:val="003E6BF0"/>
    <w:rsid w:val="003F36F0"/>
    <w:rsid w:val="00401BC7"/>
    <w:rsid w:val="00412D92"/>
    <w:rsid w:val="0041355B"/>
    <w:rsid w:val="00417C12"/>
    <w:rsid w:val="00424C42"/>
    <w:rsid w:val="00424F32"/>
    <w:rsid w:val="00426DB8"/>
    <w:rsid w:val="004304B2"/>
    <w:rsid w:val="00441CAC"/>
    <w:rsid w:val="00442E7C"/>
    <w:rsid w:val="00442F38"/>
    <w:rsid w:val="004450DB"/>
    <w:rsid w:val="00455132"/>
    <w:rsid w:val="004757EB"/>
    <w:rsid w:val="00475A4C"/>
    <w:rsid w:val="0048101A"/>
    <w:rsid w:val="00483D02"/>
    <w:rsid w:val="00490798"/>
    <w:rsid w:val="00491DD8"/>
    <w:rsid w:val="004942B3"/>
    <w:rsid w:val="00494BD9"/>
    <w:rsid w:val="004B121C"/>
    <w:rsid w:val="004C07F7"/>
    <w:rsid w:val="004D3A14"/>
    <w:rsid w:val="004D6ED7"/>
    <w:rsid w:val="004F0E25"/>
    <w:rsid w:val="004F3291"/>
    <w:rsid w:val="004F4CB4"/>
    <w:rsid w:val="0051285E"/>
    <w:rsid w:val="00533E4E"/>
    <w:rsid w:val="00550454"/>
    <w:rsid w:val="00551EAD"/>
    <w:rsid w:val="005639F4"/>
    <w:rsid w:val="00566AA0"/>
    <w:rsid w:val="005710A2"/>
    <w:rsid w:val="00571C4B"/>
    <w:rsid w:val="00572713"/>
    <w:rsid w:val="005729DA"/>
    <w:rsid w:val="00581599"/>
    <w:rsid w:val="00584062"/>
    <w:rsid w:val="005922FA"/>
    <w:rsid w:val="005946B6"/>
    <w:rsid w:val="005A067D"/>
    <w:rsid w:val="005C23A0"/>
    <w:rsid w:val="005D201D"/>
    <w:rsid w:val="005F612E"/>
    <w:rsid w:val="005F6D98"/>
    <w:rsid w:val="006067A0"/>
    <w:rsid w:val="0061122E"/>
    <w:rsid w:val="00614991"/>
    <w:rsid w:val="006311C1"/>
    <w:rsid w:val="00631E4E"/>
    <w:rsid w:val="0065179A"/>
    <w:rsid w:val="00672EF1"/>
    <w:rsid w:val="006835E3"/>
    <w:rsid w:val="0069475B"/>
    <w:rsid w:val="0069574F"/>
    <w:rsid w:val="006A2817"/>
    <w:rsid w:val="006A2C86"/>
    <w:rsid w:val="006B2854"/>
    <w:rsid w:val="006B39BA"/>
    <w:rsid w:val="006B753E"/>
    <w:rsid w:val="006C08BC"/>
    <w:rsid w:val="006D249B"/>
    <w:rsid w:val="006E37D4"/>
    <w:rsid w:val="006E6E9C"/>
    <w:rsid w:val="00710DEE"/>
    <w:rsid w:val="00752EE3"/>
    <w:rsid w:val="00753496"/>
    <w:rsid w:val="00761A88"/>
    <w:rsid w:val="007668D3"/>
    <w:rsid w:val="0077063A"/>
    <w:rsid w:val="0077297C"/>
    <w:rsid w:val="0077320C"/>
    <w:rsid w:val="00793B9C"/>
    <w:rsid w:val="00797113"/>
    <w:rsid w:val="007A5A01"/>
    <w:rsid w:val="007A7545"/>
    <w:rsid w:val="007B1091"/>
    <w:rsid w:val="007B7321"/>
    <w:rsid w:val="007C4076"/>
    <w:rsid w:val="007C55E1"/>
    <w:rsid w:val="007C5F8B"/>
    <w:rsid w:val="007D4214"/>
    <w:rsid w:val="007D4768"/>
    <w:rsid w:val="007E015E"/>
    <w:rsid w:val="007E0E64"/>
    <w:rsid w:val="00812490"/>
    <w:rsid w:val="00835B71"/>
    <w:rsid w:val="00850AE9"/>
    <w:rsid w:val="00867B55"/>
    <w:rsid w:val="008759C7"/>
    <w:rsid w:val="00875CF3"/>
    <w:rsid w:val="00876F9A"/>
    <w:rsid w:val="008B054E"/>
    <w:rsid w:val="008B30B5"/>
    <w:rsid w:val="008C060F"/>
    <w:rsid w:val="008C0A80"/>
    <w:rsid w:val="008E05AA"/>
    <w:rsid w:val="008E24A2"/>
    <w:rsid w:val="008EC32E"/>
    <w:rsid w:val="008F537B"/>
    <w:rsid w:val="00905BD6"/>
    <w:rsid w:val="0090702E"/>
    <w:rsid w:val="00926E6C"/>
    <w:rsid w:val="00935D47"/>
    <w:rsid w:val="00961F3B"/>
    <w:rsid w:val="00972F3E"/>
    <w:rsid w:val="009778DC"/>
    <w:rsid w:val="00986BB2"/>
    <w:rsid w:val="009A027E"/>
    <w:rsid w:val="009B1205"/>
    <w:rsid w:val="009B5DA7"/>
    <w:rsid w:val="009C1FAA"/>
    <w:rsid w:val="009C2D27"/>
    <w:rsid w:val="009C4C21"/>
    <w:rsid w:val="009C5555"/>
    <w:rsid w:val="009C6C01"/>
    <w:rsid w:val="009C7DA6"/>
    <w:rsid w:val="009D7B4F"/>
    <w:rsid w:val="009E235E"/>
    <w:rsid w:val="009F6669"/>
    <w:rsid w:val="009F6CDE"/>
    <w:rsid w:val="00A0039E"/>
    <w:rsid w:val="00A01AC8"/>
    <w:rsid w:val="00A14E5D"/>
    <w:rsid w:val="00A154AB"/>
    <w:rsid w:val="00A15BD1"/>
    <w:rsid w:val="00A40750"/>
    <w:rsid w:val="00A45918"/>
    <w:rsid w:val="00A46793"/>
    <w:rsid w:val="00A511AC"/>
    <w:rsid w:val="00A56D42"/>
    <w:rsid w:val="00A70987"/>
    <w:rsid w:val="00A70EC1"/>
    <w:rsid w:val="00A7322B"/>
    <w:rsid w:val="00A738C1"/>
    <w:rsid w:val="00A77E4F"/>
    <w:rsid w:val="00A937EA"/>
    <w:rsid w:val="00A96A3A"/>
    <w:rsid w:val="00AA54B7"/>
    <w:rsid w:val="00AA69A4"/>
    <w:rsid w:val="00AB6D95"/>
    <w:rsid w:val="00AB7F6E"/>
    <w:rsid w:val="00AE0AEF"/>
    <w:rsid w:val="00AE2C08"/>
    <w:rsid w:val="00AE4554"/>
    <w:rsid w:val="00AF423D"/>
    <w:rsid w:val="00AF5DCB"/>
    <w:rsid w:val="00B036CC"/>
    <w:rsid w:val="00B044F4"/>
    <w:rsid w:val="00B04EB2"/>
    <w:rsid w:val="00B11A98"/>
    <w:rsid w:val="00B300AA"/>
    <w:rsid w:val="00B41DC7"/>
    <w:rsid w:val="00B45700"/>
    <w:rsid w:val="00B54071"/>
    <w:rsid w:val="00B55586"/>
    <w:rsid w:val="00B560BF"/>
    <w:rsid w:val="00B63B4D"/>
    <w:rsid w:val="00B7435E"/>
    <w:rsid w:val="00B76DF4"/>
    <w:rsid w:val="00B805C3"/>
    <w:rsid w:val="00B80C21"/>
    <w:rsid w:val="00B8131C"/>
    <w:rsid w:val="00B86B86"/>
    <w:rsid w:val="00B9076B"/>
    <w:rsid w:val="00B9210A"/>
    <w:rsid w:val="00B9326E"/>
    <w:rsid w:val="00BB1107"/>
    <w:rsid w:val="00BB7695"/>
    <w:rsid w:val="00BD7F07"/>
    <w:rsid w:val="00BF573D"/>
    <w:rsid w:val="00BF716F"/>
    <w:rsid w:val="00C01787"/>
    <w:rsid w:val="00C26931"/>
    <w:rsid w:val="00C35F99"/>
    <w:rsid w:val="00C4054C"/>
    <w:rsid w:val="00C44B30"/>
    <w:rsid w:val="00C44BE7"/>
    <w:rsid w:val="00C476CE"/>
    <w:rsid w:val="00C50A47"/>
    <w:rsid w:val="00C55990"/>
    <w:rsid w:val="00C61AA0"/>
    <w:rsid w:val="00C64C86"/>
    <w:rsid w:val="00C93700"/>
    <w:rsid w:val="00C93995"/>
    <w:rsid w:val="00C96348"/>
    <w:rsid w:val="00CA3475"/>
    <w:rsid w:val="00CC000D"/>
    <w:rsid w:val="00CC028E"/>
    <w:rsid w:val="00CC4B10"/>
    <w:rsid w:val="00CC5EEC"/>
    <w:rsid w:val="00CD21E6"/>
    <w:rsid w:val="00CD4F39"/>
    <w:rsid w:val="00CE5D20"/>
    <w:rsid w:val="00CF0D46"/>
    <w:rsid w:val="00D00A0B"/>
    <w:rsid w:val="00D024EA"/>
    <w:rsid w:val="00D10518"/>
    <w:rsid w:val="00D141CB"/>
    <w:rsid w:val="00D20C1F"/>
    <w:rsid w:val="00D2275A"/>
    <w:rsid w:val="00D22857"/>
    <w:rsid w:val="00D24047"/>
    <w:rsid w:val="00D404BE"/>
    <w:rsid w:val="00D70F0D"/>
    <w:rsid w:val="00D93803"/>
    <w:rsid w:val="00DA6B86"/>
    <w:rsid w:val="00DB4186"/>
    <w:rsid w:val="00DD1685"/>
    <w:rsid w:val="00DD33FC"/>
    <w:rsid w:val="00DF108D"/>
    <w:rsid w:val="00DF3C4C"/>
    <w:rsid w:val="00E108F1"/>
    <w:rsid w:val="00E2294C"/>
    <w:rsid w:val="00E57AF5"/>
    <w:rsid w:val="00E62803"/>
    <w:rsid w:val="00E63D21"/>
    <w:rsid w:val="00E70CA2"/>
    <w:rsid w:val="00E7699A"/>
    <w:rsid w:val="00E76A6F"/>
    <w:rsid w:val="00EA360D"/>
    <w:rsid w:val="00EB62C5"/>
    <w:rsid w:val="00EB6EDF"/>
    <w:rsid w:val="00EC1911"/>
    <w:rsid w:val="00EC6D5A"/>
    <w:rsid w:val="00EF33E0"/>
    <w:rsid w:val="00EF4D2B"/>
    <w:rsid w:val="00F0603E"/>
    <w:rsid w:val="00F25B7C"/>
    <w:rsid w:val="00F43939"/>
    <w:rsid w:val="00F66B51"/>
    <w:rsid w:val="00F748F9"/>
    <w:rsid w:val="00F91592"/>
    <w:rsid w:val="00F91B8D"/>
    <w:rsid w:val="00FB3DE1"/>
    <w:rsid w:val="00FC537E"/>
    <w:rsid w:val="00FD51C3"/>
    <w:rsid w:val="02CD6781"/>
    <w:rsid w:val="0485066F"/>
    <w:rsid w:val="04BAA480"/>
    <w:rsid w:val="059B0BEF"/>
    <w:rsid w:val="0832BC93"/>
    <w:rsid w:val="086D405C"/>
    <w:rsid w:val="0B212F7D"/>
    <w:rsid w:val="0C512F33"/>
    <w:rsid w:val="0E4212A1"/>
    <w:rsid w:val="0E5FAED2"/>
    <w:rsid w:val="0FAC452F"/>
    <w:rsid w:val="0FC9C707"/>
    <w:rsid w:val="102C5CF0"/>
    <w:rsid w:val="163678D5"/>
    <w:rsid w:val="19A4CC1F"/>
    <w:rsid w:val="1A989F44"/>
    <w:rsid w:val="1AD5BA31"/>
    <w:rsid w:val="1C0A27AE"/>
    <w:rsid w:val="1EC7BD6A"/>
    <w:rsid w:val="20F7EC65"/>
    <w:rsid w:val="23DBEB9D"/>
    <w:rsid w:val="243C9011"/>
    <w:rsid w:val="24BFE8B9"/>
    <w:rsid w:val="251D33E1"/>
    <w:rsid w:val="25CF3183"/>
    <w:rsid w:val="263C2B4E"/>
    <w:rsid w:val="2A89AC09"/>
    <w:rsid w:val="2D49F9E6"/>
    <w:rsid w:val="2F2451A0"/>
    <w:rsid w:val="3036AF6C"/>
    <w:rsid w:val="306B2AD4"/>
    <w:rsid w:val="31309075"/>
    <w:rsid w:val="35367872"/>
    <w:rsid w:val="35CE01D2"/>
    <w:rsid w:val="36C5A5D3"/>
    <w:rsid w:val="37343F6C"/>
    <w:rsid w:val="385799E2"/>
    <w:rsid w:val="39017038"/>
    <w:rsid w:val="3AAC60C3"/>
    <w:rsid w:val="3D2B2D80"/>
    <w:rsid w:val="3DE36EDA"/>
    <w:rsid w:val="3F33CD76"/>
    <w:rsid w:val="403C2FD7"/>
    <w:rsid w:val="45E4A6F8"/>
    <w:rsid w:val="460EB5B4"/>
    <w:rsid w:val="46C96557"/>
    <w:rsid w:val="49333848"/>
    <w:rsid w:val="4C26512A"/>
    <w:rsid w:val="4EF9904F"/>
    <w:rsid w:val="4FAF10D2"/>
    <w:rsid w:val="51A05021"/>
    <w:rsid w:val="53983B20"/>
    <w:rsid w:val="542B1651"/>
    <w:rsid w:val="545F46C3"/>
    <w:rsid w:val="56C5B21A"/>
    <w:rsid w:val="578EE5C7"/>
    <w:rsid w:val="58FD371F"/>
    <w:rsid w:val="59CB6E1C"/>
    <w:rsid w:val="5A67CDCE"/>
    <w:rsid w:val="5B1252F3"/>
    <w:rsid w:val="5B6D4A67"/>
    <w:rsid w:val="5F2BDB55"/>
    <w:rsid w:val="5FB90602"/>
    <w:rsid w:val="61A8EB07"/>
    <w:rsid w:val="62AA36DE"/>
    <w:rsid w:val="6660390D"/>
    <w:rsid w:val="68723442"/>
    <w:rsid w:val="68B783A6"/>
    <w:rsid w:val="6DD555BA"/>
    <w:rsid w:val="6E12E9E8"/>
    <w:rsid w:val="7000E436"/>
    <w:rsid w:val="7048E078"/>
    <w:rsid w:val="7054757B"/>
    <w:rsid w:val="71815490"/>
    <w:rsid w:val="718EFED8"/>
    <w:rsid w:val="7296475B"/>
    <w:rsid w:val="7560A356"/>
    <w:rsid w:val="76AEDA17"/>
    <w:rsid w:val="76BF3729"/>
    <w:rsid w:val="776CC2F1"/>
    <w:rsid w:val="77B73C78"/>
    <w:rsid w:val="7A0A36C2"/>
    <w:rsid w:val="7CB85F59"/>
    <w:rsid w:val="7D8935A0"/>
    <w:rsid w:val="7FA9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29274A"/>
  <w15:chartTrackingRefBased/>
  <w15:docId w15:val="{431015F6-055F-44D5-8355-795875B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C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20D23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C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20D2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F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E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1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1E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E8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20C1F"/>
    <w:rPr>
      <w:rFonts w:asciiTheme="majorHAnsi" w:eastAsiaTheme="majorEastAsia" w:hAnsiTheme="majorHAnsi" w:cstheme="majorBidi"/>
      <w:color w:val="920D23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0C1F"/>
    <w:rPr>
      <w:rFonts w:asciiTheme="majorHAnsi" w:eastAsiaTheme="majorEastAsia" w:hAnsiTheme="majorHAnsi" w:cstheme="majorBidi"/>
      <w:color w:val="920D23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A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2859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2859C" w:themeFill="accent5"/>
      </w:tcPr>
    </w:tblStylePr>
    <w:tblStylePr w:type="band1Vert">
      <w:tblPr/>
      <w:tcPr>
        <w:shd w:val="clear" w:color="auto" w:fill="CCCED7" w:themeFill="accent5" w:themeFillTint="66"/>
      </w:tcPr>
    </w:tblStylePr>
    <w:tblStylePr w:type="band1Horz">
      <w:tblPr/>
      <w:tcPr>
        <w:shd w:val="clear" w:color="auto" w:fill="CCCED7" w:themeFill="accent5" w:themeFillTint="66"/>
      </w:tcPr>
    </w:tblStylePr>
  </w:style>
  <w:style w:type="table" w:styleId="GridTable4">
    <w:name w:val="Grid Table 4"/>
    <w:basedOn w:val="TableNormal"/>
    <w:uiPriority w:val="49"/>
    <w:rsid w:val="00CA3475"/>
    <w:pPr>
      <w:spacing w:after="0" w:line="240" w:lineRule="auto"/>
    </w:pPr>
    <w:tblPr>
      <w:tblStyleRowBandSize w:val="1"/>
      <w:tblStyleColBandSize w:val="1"/>
      <w:tblBorders>
        <w:top w:val="single" w:sz="4" w:space="0" w:color="777A7E" w:themeColor="text1" w:themeTint="99"/>
        <w:left w:val="single" w:sz="4" w:space="0" w:color="777A7E" w:themeColor="text1" w:themeTint="99"/>
        <w:bottom w:val="single" w:sz="4" w:space="0" w:color="777A7E" w:themeColor="text1" w:themeTint="99"/>
        <w:right w:val="single" w:sz="4" w:space="0" w:color="777A7E" w:themeColor="text1" w:themeTint="99"/>
        <w:insideH w:val="single" w:sz="4" w:space="0" w:color="777A7E" w:themeColor="text1" w:themeTint="99"/>
        <w:insideV w:val="single" w:sz="4" w:space="0" w:color="777A7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324" w:themeColor="text1"/>
          <w:left w:val="single" w:sz="4" w:space="0" w:color="222324" w:themeColor="text1"/>
          <w:bottom w:val="single" w:sz="4" w:space="0" w:color="222324" w:themeColor="text1"/>
          <w:right w:val="single" w:sz="4" w:space="0" w:color="222324" w:themeColor="text1"/>
          <w:insideH w:val="nil"/>
          <w:insideV w:val="nil"/>
        </w:tcBorders>
        <w:shd w:val="clear" w:color="auto" w:fill="222324" w:themeFill="text1"/>
      </w:tcPr>
    </w:tblStylePr>
    <w:tblStylePr w:type="lastRow">
      <w:rPr>
        <w:b/>
        <w:bCs/>
      </w:rPr>
      <w:tblPr/>
      <w:tcPr>
        <w:tcBorders>
          <w:top w:val="double" w:sz="4" w:space="0" w:color="2223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2D4" w:themeFill="text1" w:themeFillTint="33"/>
      </w:tcPr>
    </w:tblStylePr>
    <w:tblStylePr w:type="band1Horz">
      <w:tblPr/>
      <w:tcPr>
        <w:shd w:val="clear" w:color="auto" w:fill="D1D2D4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A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7E"/>
  </w:style>
  <w:style w:type="paragraph" w:styleId="Footer">
    <w:name w:val="footer"/>
    <w:basedOn w:val="Normal"/>
    <w:link w:val="FooterChar"/>
    <w:uiPriority w:val="99"/>
    <w:unhideWhenUsed/>
    <w:rsid w:val="009A0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7E"/>
  </w:style>
  <w:style w:type="paragraph" w:styleId="Title">
    <w:name w:val="Title"/>
    <w:basedOn w:val="Normal"/>
    <w:next w:val="Normal"/>
    <w:link w:val="TitleChar"/>
    <w:uiPriority w:val="10"/>
    <w:qFormat/>
    <w:rsid w:val="00710D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B2854"/>
    <w:pPr>
      <w:spacing w:after="0" w:line="240" w:lineRule="auto"/>
    </w:pPr>
  </w:style>
  <w:style w:type="paragraph" w:styleId="Revision">
    <w:name w:val="Revision"/>
    <w:hidden/>
    <w:uiPriority w:val="99"/>
    <w:semiHidden/>
    <w:rsid w:val="005C23A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C4076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2309A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309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309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511AC"/>
    <w:rPr>
      <w:color w:val="C41230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511AC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13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13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132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761A88"/>
    <w:rPr>
      <w:color w:val="2B579A"/>
      <w:shd w:val="clear" w:color="auto" w:fill="E1DFDD"/>
    </w:rPr>
  </w:style>
  <w:style w:type="table" w:customStyle="1" w:styleId="AEMO1">
    <w:name w:val="AEMO1"/>
    <w:basedOn w:val="TableNormal"/>
    <w:next w:val="TableGrid"/>
    <w:uiPriority w:val="39"/>
    <w:rsid w:val="00160FF0"/>
    <w:pPr>
      <w:spacing w:after="0" w:line="240" w:lineRule="auto"/>
    </w:pPr>
    <w:rPr>
      <w:rFonts w:eastAsiaTheme="minorEastAsia"/>
      <w:sz w:val="16"/>
      <w:lang w:eastAsia="ko-KR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paragraph" w:customStyle="1" w:styleId="TableText">
    <w:name w:val="Table Text"/>
    <w:link w:val="TableTextChar"/>
    <w:qFormat/>
    <w:rsid w:val="00160FF0"/>
    <w:pPr>
      <w:spacing w:before="100" w:after="100" w:line="240" w:lineRule="auto"/>
    </w:pPr>
    <w:rPr>
      <w:rFonts w:eastAsia="Calibri" w:cs="Times New Roman"/>
      <w:sz w:val="16"/>
      <w:szCs w:val="24"/>
    </w:rPr>
  </w:style>
  <w:style w:type="character" w:customStyle="1" w:styleId="TableTextChar">
    <w:name w:val="Table Text Char"/>
    <w:basedOn w:val="DefaultParagraphFont"/>
    <w:link w:val="TableText"/>
    <w:locked/>
    <w:rsid w:val="00160FF0"/>
    <w:rPr>
      <w:rFonts w:eastAsia="Calibri" w:cs="Times New Roman"/>
      <w:sz w:val="16"/>
      <w:szCs w:val="24"/>
    </w:rPr>
  </w:style>
  <w:style w:type="table" w:customStyle="1" w:styleId="AEMO2">
    <w:name w:val="AEMO2"/>
    <w:basedOn w:val="TableNormal"/>
    <w:next w:val="TableGrid"/>
    <w:uiPriority w:val="39"/>
    <w:rsid w:val="003A6E4D"/>
    <w:pPr>
      <w:spacing w:after="0" w:line="240" w:lineRule="auto"/>
    </w:pPr>
    <w:rPr>
      <w:rFonts w:eastAsiaTheme="minorEastAsia"/>
      <w:sz w:val="16"/>
      <w:lang w:eastAsia="ko-KR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lastRow">
      <w:rPr>
        <w:rFonts w:asciiTheme="minorHAnsi" w:hAnsiTheme="minorHAnsi"/>
        <w:sz w:val="20"/>
      </w:rPr>
    </w:tblStylePr>
    <w:tblStylePr w:type="firstCol">
      <w:rPr>
        <w:rFonts w:asciiTheme="majorHAnsi" w:hAnsiTheme="majorHAnsi"/>
        <w:color w:val="360F3C" w:themeColor="accent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B6E45E744A07AA498B1E08856C87769C" ma:contentTypeVersion="4" ma:contentTypeDescription="" ma:contentTypeScope="" ma:versionID="ca99f2b391aa7bfd213651fdff1d6317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2e2166ec53b916766c0f36b63f1a01ee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cb882ba-d748-4414-9156-e4fbbbf606da}" ma:internalName="TaxCatchAll" ma:showField="CatchAllData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cb882ba-d748-4414-9156-e4fbbbf606da}" ma:internalName="TaxCatchAllLabel" ma:readOnly="true" ma:showField="CatchAllDataLabel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36bc6de0bf403e9ed4dec84c72e21e xmlns="5d1a2284-45bc-4927-a9f9-e51f9f17c21a">
      <Terms xmlns="http://schemas.microsoft.com/office/infopath/2007/PartnerControls"/>
    </fc36bc6de0bf403e9ed4dec84c72e21e>
    <TaxCatchAll xmlns="5d1a2284-45bc-4927-a9f9-e51f9f17c21a" xsi:nil="true"/>
    <TaxKeywordTaxHTField xmlns="5d1a2284-45bc-4927-a9f9-e51f9f17c21a">
      <Terms xmlns="http://schemas.microsoft.com/office/infopath/2007/PartnerControls"/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D6EA-411A-4BE2-B43C-5CFD59710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39E326-F63D-461F-BB5C-2B41DB2E381A}"/>
</file>

<file path=customXml/itemProps3.xml><?xml version="1.0" encoding="utf-8"?>
<ds:datastoreItem xmlns:ds="http://schemas.openxmlformats.org/officeDocument/2006/customXml" ds:itemID="{8F66D6D8-7EF6-4079-9E17-C4D5194DC8B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0D3617A-191D-48A9-938C-66B4CCB699C4}">
  <ds:schemaRefs>
    <ds:schemaRef ds:uri="http://purl.org/dc/elements/1.1/"/>
    <ds:schemaRef ds:uri="http://schemas.microsoft.com/office/2006/metadata/properties"/>
    <ds:schemaRef ds:uri="5d1a2284-45bc-4927-a9f9-e51f9f17c2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F891C07-69DD-46F1-B319-CF2F0E13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Banks</dc:creator>
  <cp:keywords/>
  <dc:description/>
  <cp:lastModifiedBy>Mici Colaci</cp:lastModifiedBy>
  <cp:revision>20</cp:revision>
  <dcterms:created xsi:type="dcterms:W3CDTF">2024-05-10T00:24:00Z</dcterms:created>
  <dcterms:modified xsi:type="dcterms:W3CDTF">2024-05-22T22:47:00Z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0x0101002F0B48F8F4F7904196E710056827A09600B6E45E744A07AA498B1E08856C87769C</vt:lpwstr>
  </property>
  <property fmtid="{D5CDD505-2E9C-101B-9397-08002B2CF9AE}" pid="3" name="AEMODocumentType">
    <vt:lpwstr>2;#Operational Record|859762f2-4462-42eb-9744-c955c7e2c540</vt:lpwstr>
  </property>
  <property fmtid="{D5CDD505-2E9C-101B-9397-08002B2CF9AE}" pid="4" name="AEMOKeywords">
    <vt:lpwstr/>
  </property>
  <property fmtid="{D5CDD505-2E9C-101B-9397-08002B2CF9AE}" pid="5" name="_dlc_DocIdItemGuid">
    <vt:lpwstr>e96cab12-dc91-4994-8e80-42a7012f3c28</vt:lpwstr>
  </property>
  <property fmtid="{D5CDD505-2E9C-101B-9397-08002B2CF9AE}" pid="6" name="TaxKeyword">
    <vt:lpwstr/>
  </property>
  <property fmtid="{D5CDD505-2E9C-101B-9397-08002B2CF9AE}" pid="7" name="AEMO Collaboration Document Type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SIP_Label_c1941c47-a837-430d-8559-fd118a72769e_Enabled">
    <vt:lpwstr>true</vt:lpwstr>
  </property>
  <property fmtid="{D5CDD505-2E9C-101B-9397-08002B2CF9AE}" pid="15" name="MSIP_Label_c1941c47-a837-430d-8559-fd118a72769e_SetDate">
    <vt:lpwstr>2024-01-04T01:23:21Z</vt:lpwstr>
  </property>
  <property fmtid="{D5CDD505-2E9C-101B-9397-08002B2CF9AE}" pid="16" name="MSIP_Label_c1941c47-a837-430d-8559-fd118a72769e_Method">
    <vt:lpwstr>Standard</vt:lpwstr>
  </property>
  <property fmtid="{D5CDD505-2E9C-101B-9397-08002B2CF9AE}" pid="17" name="MSIP_Label_c1941c47-a837-430d-8559-fd118a72769e_Name">
    <vt:lpwstr>Internal</vt:lpwstr>
  </property>
  <property fmtid="{D5CDD505-2E9C-101B-9397-08002B2CF9AE}" pid="18" name="MSIP_Label_c1941c47-a837-430d-8559-fd118a72769e_SiteId">
    <vt:lpwstr>320c999e-3876-4ad0-b401-d241068e9e60</vt:lpwstr>
  </property>
  <property fmtid="{D5CDD505-2E9C-101B-9397-08002B2CF9AE}" pid="19" name="MSIP_Label_c1941c47-a837-430d-8559-fd118a72769e_ActionId">
    <vt:lpwstr>3e23265c-7b0b-44cf-9bd7-1e9998d09297</vt:lpwstr>
  </property>
  <property fmtid="{D5CDD505-2E9C-101B-9397-08002B2CF9AE}" pid="20" name="MSIP_Label_c1941c47-a837-430d-8559-fd118a72769e_ContentBits">
    <vt:lpwstr>0</vt:lpwstr>
  </property>
  <property fmtid="{D5CDD505-2E9C-101B-9397-08002B2CF9AE}" pid="21" name="MediaServiceImageTags">
    <vt:lpwstr/>
  </property>
  <property fmtid="{D5CDD505-2E9C-101B-9397-08002B2CF9AE}" pid="22" name="lcf76f155ced4ddcb4097134ff3c332f">
    <vt:lpwstr/>
  </property>
  <property fmtid="{D5CDD505-2E9C-101B-9397-08002B2CF9AE}" pid="23" name="SharedWithUsers">
    <vt:lpwstr>179;#Jonathan Anstey</vt:lpwstr>
  </property>
  <property fmtid="{D5CDD505-2E9C-101B-9397-08002B2CF9AE}" pid="24" name="Order">
    <vt:r8>7983200</vt:r8>
  </property>
  <property fmtid="{D5CDD505-2E9C-101B-9397-08002B2CF9AE}" pid="25" name="_SourceUrl">
    <vt:lpwstr/>
  </property>
  <property fmtid="{D5CDD505-2E9C-101B-9397-08002B2CF9AE}" pid="26" name="_SharedFileIndex">
    <vt:lpwstr/>
  </property>
</Properties>
</file>