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092A2" w14:textId="77777777" w:rsidR="001E503F" w:rsidRDefault="001E503F" w:rsidP="005B46B3">
      <w:pPr>
        <w:pStyle w:val="Title"/>
        <w:ind w:left="0" w:firstLine="0"/>
      </w:pPr>
    </w:p>
    <w:p w14:paraId="756C51E6" w14:textId="1E1D44BB" w:rsidR="004E10BA" w:rsidRDefault="005B46B3" w:rsidP="005B46B3">
      <w:pPr>
        <w:pStyle w:val="Title"/>
        <w:ind w:left="0" w:firstLine="0"/>
      </w:pPr>
      <w:r>
        <w:t xml:space="preserve">Interim </w:t>
      </w:r>
      <w:r w:rsidR="00803A21">
        <w:t>a</w:t>
      </w:r>
      <w:r w:rsidR="00E410CA">
        <w:t>rrangements</w:t>
      </w:r>
      <w:r w:rsidR="00803A21">
        <w:t xml:space="preserve"> for utility scale battery t</w:t>
      </w:r>
      <w:r w:rsidR="00E410CA">
        <w:t>echnology</w:t>
      </w:r>
    </w:p>
    <w:p w14:paraId="783B69EB" w14:textId="77777777" w:rsidR="001E503F" w:rsidRDefault="001E503F" w:rsidP="001E503F">
      <w:pPr>
        <w:pStyle w:val="BodyText"/>
      </w:pPr>
    </w:p>
    <w:p w14:paraId="3B91B8F8" w14:textId="76CF6415" w:rsidR="00EE31DB" w:rsidRPr="00EE31DB" w:rsidRDefault="00EE31DB" w:rsidP="00EE31DB">
      <w:pPr>
        <w:pStyle w:val="Title"/>
        <w:rPr>
          <w:sz w:val="24"/>
          <w:szCs w:val="24"/>
        </w:rPr>
      </w:pPr>
      <w:r w:rsidRPr="00EE31DB">
        <w:rPr>
          <w:sz w:val="24"/>
          <w:szCs w:val="24"/>
        </w:rPr>
        <w:t>Introduction</w:t>
      </w:r>
    </w:p>
    <w:p w14:paraId="66D13E2B" w14:textId="02245475" w:rsidR="00B32484" w:rsidRDefault="00803A21" w:rsidP="002B038D">
      <w:pPr>
        <w:pStyle w:val="BodyText"/>
        <w:rPr>
          <w:b/>
        </w:rPr>
      </w:pPr>
      <w:r>
        <w:rPr>
          <w:b/>
        </w:rPr>
        <w:t>Purpose</w:t>
      </w:r>
    </w:p>
    <w:p w14:paraId="20E04F2F" w14:textId="76556AC1" w:rsidR="00D54E5B" w:rsidRDefault="00B32484" w:rsidP="002B038D">
      <w:pPr>
        <w:pStyle w:val="BodyText"/>
        <w:rPr>
          <w:sz w:val="20"/>
        </w:rPr>
      </w:pPr>
      <w:r w:rsidRPr="00317A2E">
        <w:rPr>
          <w:sz w:val="20"/>
        </w:rPr>
        <w:t xml:space="preserve">This </w:t>
      </w:r>
      <w:r w:rsidR="00EE31DB">
        <w:rPr>
          <w:sz w:val="20"/>
        </w:rPr>
        <w:t>document</w:t>
      </w:r>
      <w:r w:rsidRPr="00317A2E">
        <w:rPr>
          <w:sz w:val="20"/>
        </w:rPr>
        <w:t xml:space="preserve"> has been prepared to </w:t>
      </w:r>
      <w:r w:rsidR="001E503F">
        <w:rPr>
          <w:sz w:val="20"/>
        </w:rPr>
        <w:t>expedite the entry of</w:t>
      </w:r>
      <w:r w:rsidR="006A5315">
        <w:rPr>
          <w:sz w:val="20"/>
        </w:rPr>
        <w:t xml:space="preserve"> </w:t>
      </w:r>
      <w:r w:rsidRPr="00317A2E">
        <w:rPr>
          <w:sz w:val="20"/>
        </w:rPr>
        <w:t>utility scale battery projects</w:t>
      </w:r>
      <w:r w:rsidR="006A5315">
        <w:rPr>
          <w:sz w:val="20"/>
        </w:rPr>
        <w:t xml:space="preserve"> </w:t>
      </w:r>
      <w:r w:rsidR="001E503F">
        <w:rPr>
          <w:sz w:val="20"/>
        </w:rPr>
        <w:t xml:space="preserve">to the NEM in the </w:t>
      </w:r>
      <w:r w:rsidR="006A5315">
        <w:rPr>
          <w:sz w:val="20"/>
        </w:rPr>
        <w:t>short term</w:t>
      </w:r>
      <w:r w:rsidR="001C757D" w:rsidRPr="00317A2E">
        <w:rPr>
          <w:sz w:val="20"/>
        </w:rPr>
        <w:t>.</w:t>
      </w:r>
      <w:r w:rsidRPr="00317A2E" w:rsidDel="001C757D">
        <w:rPr>
          <w:sz w:val="20"/>
        </w:rPr>
        <w:t xml:space="preserve"> </w:t>
      </w:r>
      <w:r w:rsidR="00D54E5B">
        <w:rPr>
          <w:sz w:val="20"/>
        </w:rPr>
        <w:t xml:space="preserve">It sets out </w:t>
      </w:r>
      <w:r w:rsidR="001E503F">
        <w:rPr>
          <w:sz w:val="20"/>
        </w:rPr>
        <w:t>AEMO’s</w:t>
      </w:r>
      <w:r w:rsidR="00D54E5B">
        <w:rPr>
          <w:sz w:val="20"/>
        </w:rPr>
        <w:t xml:space="preserve"> views on how to apply the current National Electricity Rules (NER) to battery projects, recognising that there may be scope to improve the NER </w:t>
      </w:r>
      <w:r w:rsidR="001E503F">
        <w:rPr>
          <w:sz w:val="20"/>
        </w:rPr>
        <w:t xml:space="preserve">framework going forward. </w:t>
      </w:r>
    </w:p>
    <w:p w14:paraId="03A38518" w14:textId="34CAC296" w:rsidR="001B08EA" w:rsidRPr="00317A2E" w:rsidRDefault="00EE31DB" w:rsidP="002E5FC2">
      <w:pPr>
        <w:pStyle w:val="BodyText"/>
        <w:rPr>
          <w:sz w:val="20"/>
        </w:rPr>
      </w:pPr>
      <w:r>
        <w:rPr>
          <w:sz w:val="20"/>
        </w:rPr>
        <w:t xml:space="preserve">The document </w:t>
      </w:r>
      <w:r w:rsidR="001E503F">
        <w:rPr>
          <w:sz w:val="20"/>
        </w:rPr>
        <w:t>describes</w:t>
      </w:r>
      <w:r w:rsidR="006A5315">
        <w:rPr>
          <w:sz w:val="20"/>
        </w:rPr>
        <w:t xml:space="preserve"> interim arrangements to apply in a </w:t>
      </w:r>
      <w:r w:rsidR="009161F3" w:rsidRPr="00317A2E">
        <w:rPr>
          <w:sz w:val="20"/>
        </w:rPr>
        <w:t xml:space="preserve">number of key areas including </w:t>
      </w:r>
      <w:r w:rsidR="00E410CA" w:rsidRPr="00317A2E">
        <w:rPr>
          <w:sz w:val="20"/>
        </w:rPr>
        <w:t>registration, metering</w:t>
      </w:r>
      <w:r w:rsidR="00E33CE7">
        <w:rPr>
          <w:sz w:val="20"/>
        </w:rPr>
        <w:t xml:space="preserve">, </w:t>
      </w:r>
      <w:r w:rsidR="009161F3" w:rsidRPr="00317A2E">
        <w:rPr>
          <w:sz w:val="20"/>
        </w:rPr>
        <w:t xml:space="preserve">SCADA, negotiation of </w:t>
      </w:r>
      <w:r w:rsidR="00E410CA" w:rsidRPr="00317A2E">
        <w:rPr>
          <w:sz w:val="20"/>
        </w:rPr>
        <w:t>generator performance standards</w:t>
      </w:r>
      <w:r w:rsidR="00253AC7" w:rsidRPr="00317A2E">
        <w:rPr>
          <w:sz w:val="20"/>
        </w:rPr>
        <w:t xml:space="preserve"> (GPS)</w:t>
      </w:r>
      <w:r w:rsidR="009161F3" w:rsidRPr="00317A2E">
        <w:rPr>
          <w:sz w:val="20"/>
        </w:rPr>
        <w:t xml:space="preserve"> and</w:t>
      </w:r>
      <w:r w:rsidR="00253AC7" w:rsidRPr="00317A2E">
        <w:rPr>
          <w:sz w:val="20"/>
        </w:rPr>
        <w:t xml:space="preserve"> engagement with </w:t>
      </w:r>
      <w:r w:rsidR="00E410CA" w:rsidRPr="00317A2E">
        <w:rPr>
          <w:sz w:val="20"/>
        </w:rPr>
        <w:t>Network Service Providers (</w:t>
      </w:r>
      <w:r w:rsidR="00253AC7" w:rsidRPr="00317A2E">
        <w:rPr>
          <w:sz w:val="20"/>
        </w:rPr>
        <w:t>NSPs</w:t>
      </w:r>
      <w:r w:rsidR="00E410CA" w:rsidRPr="00317A2E">
        <w:rPr>
          <w:sz w:val="20"/>
        </w:rPr>
        <w:t>)</w:t>
      </w:r>
      <w:r w:rsidR="00253AC7" w:rsidRPr="00317A2E">
        <w:rPr>
          <w:sz w:val="20"/>
        </w:rPr>
        <w:t>. Further context is also provided through example questions and answers.</w:t>
      </w:r>
      <w:r w:rsidR="002E5FC2" w:rsidRPr="00317A2E">
        <w:rPr>
          <w:sz w:val="20"/>
        </w:rPr>
        <w:t xml:space="preserve"> </w:t>
      </w:r>
    </w:p>
    <w:p w14:paraId="507C7E9D" w14:textId="3B77818F" w:rsidR="002E5FC2" w:rsidRPr="00317A2E" w:rsidRDefault="002E5FC2" w:rsidP="002E5FC2">
      <w:pPr>
        <w:pStyle w:val="BodyText"/>
        <w:rPr>
          <w:sz w:val="20"/>
        </w:rPr>
      </w:pPr>
      <w:r w:rsidRPr="00317A2E">
        <w:rPr>
          <w:sz w:val="20"/>
        </w:rPr>
        <w:t>AEMO will assess the conditions for connection, registration and operation of battery energy systems on a case-by-case bas</w:t>
      </w:r>
      <w:r w:rsidR="00E410CA" w:rsidRPr="00317A2E">
        <w:rPr>
          <w:sz w:val="20"/>
        </w:rPr>
        <w:t>i</w:t>
      </w:r>
      <w:r w:rsidRPr="00317A2E">
        <w:rPr>
          <w:sz w:val="20"/>
        </w:rPr>
        <w:t xml:space="preserve">s in accordance with the </w:t>
      </w:r>
      <w:r w:rsidR="006A5315">
        <w:rPr>
          <w:sz w:val="20"/>
        </w:rPr>
        <w:t>NER.</w:t>
      </w:r>
    </w:p>
    <w:p w14:paraId="0E3415B2" w14:textId="3187E37D" w:rsidR="002E5FC2" w:rsidRPr="00D054AB" w:rsidRDefault="001B08EA" w:rsidP="002B038D">
      <w:pPr>
        <w:pStyle w:val="BodyText"/>
        <w:rPr>
          <w:b/>
        </w:rPr>
      </w:pPr>
      <w:r w:rsidRPr="00D054AB">
        <w:rPr>
          <w:b/>
        </w:rPr>
        <w:t>Background</w:t>
      </w:r>
    </w:p>
    <w:p w14:paraId="1D09E5E7" w14:textId="77777777" w:rsidR="006A5315" w:rsidRDefault="002B038D" w:rsidP="00D054AB">
      <w:pPr>
        <w:pStyle w:val="BodyText"/>
        <w:rPr>
          <w:sz w:val="20"/>
        </w:rPr>
      </w:pPr>
      <w:r w:rsidRPr="00317A2E">
        <w:rPr>
          <w:sz w:val="20"/>
        </w:rPr>
        <w:t xml:space="preserve">AEMO is working to support </w:t>
      </w:r>
      <w:r w:rsidR="001C757D" w:rsidRPr="00317A2E">
        <w:rPr>
          <w:sz w:val="20"/>
        </w:rPr>
        <w:t xml:space="preserve">a number of processes underway </w:t>
      </w:r>
      <w:r w:rsidRPr="00317A2E">
        <w:rPr>
          <w:sz w:val="20"/>
        </w:rPr>
        <w:t xml:space="preserve">to trial the potential of battery technology to provide a variety of power system security and reliability services. </w:t>
      </w:r>
    </w:p>
    <w:p w14:paraId="18F84FE8" w14:textId="58C2D231" w:rsidR="00106200" w:rsidRPr="00317A2E" w:rsidRDefault="002F37BC" w:rsidP="006A5315">
      <w:pPr>
        <w:pStyle w:val="BodyText"/>
        <w:rPr>
          <w:sz w:val="20"/>
        </w:rPr>
      </w:pPr>
      <w:r w:rsidRPr="00317A2E">
        <w:rPr>
          <w:sz w:val="20"/>
        </w:rPr>
        <w:t>T</w:t>
      </w:r>
      <w:r w:rsidR="00FB7BA6" w:rsidRPr="00317A2E">
        <w:rPr>
          <w:sz w:val="20"/>
        </w:rPr>
        <w:t xml:space="preserve">he NER </w:t>
      </w:r>
      <w:r w:rsidR="00E410CA" w:rsidRPr="00317A2E">
        <w:rPr>
          <w:sz w:val="20"/>
        </w:rPr>
        <w:t>can</w:t>
      </w:r>
      <w:r w:rsidR="00FB7BA6" w:rsidRPr="00317A2E">
        <w:rPr>
          <w:sz w:val="20"/>
        </w:rPr>
        <w:t xml:space="preserve"> accommodat</w:t>
      </w:r>
      <w:r w:rsidR="00E410CA" w:rsidRPr="00317A2E">
        <w:rPr>
          <w:sz w:val="20"/>
        </w:rPr>
        <w:t>e</w:t>
      </w:r>
      <w:r w:rsidR="00FB7BA6" w:rsidRPr="00317A2E">
        <w:rPr>
          <w:sz w:val="20"/>
        </w:rPr>
        <w:t xml:space="preserve"> batteries and other energy storage providers</w:t>
      </w:r>
      <w:r w:rsidR="00E410CA" w:rsidRPr="00317A2E">
        <w:rPr>
          <w:sz w:val="20"/>
        </w:rPr>
        <w:t>, but</w:t>
      </w:r>
      <w:r w:rsidRPr="00317A2E">
        <w:rPr>
          <w:sz w:val="20"/>
        </w:rPr>
        <w:t xml:space="preserve"> </w:t>
      </w:r>
      <w:r w:rsidR="00FB7BA6" w:rsidRPr="00317A2E">
        <w:rPr>
          <w:sz w:val="20"/>
        </w:rPr>
        <w:t xml:space="preserve">it is not always clear how a battery fits within the current framework. </w:t>
      </w:r>
      <w:r w:rsidR="00F26C0E" w:rsidRPr="00317A2E">
        <w:rPr>
          <w:sz w:val="20"/>
        </w:rPr>
        <w:t xml:space="preserve">A number of inquiries </w:t>
      </w:r>
      <w:r w:rsidR="00666719" w:rsidRPr="00317A2E">
        <w:rPr>
          <w:sz w:val="20"/>
        </w:rPr>
        <w:t xml:space="preserve">have been received by AEMO from </w:t>
      </w:r>
      <w:r w:rsidR="00F26C0E" w:rsidRPr="00317A2E">
        <w:rPr>
          <w:sz w:val="20"/>
        </w:rPr>
        <w:t xml:space="preserve">proponents </w:t>
      </w:r>
      <w:r w:rsidR="00E410CA" w:rsidRPr="00317A2E">
        <w:rPr>
          <w:sz w:val="20"/>
        </w:rPr>
        <w:t>of</w:t>
      </w:r>
      <w:r w:rsidR="002B038D" w:rsidRPr="00317A2E">
        <w:rPr>
          <w:sz w:val="20"/>
        </w:rPr>
        <w:t xml:space="preserve"> </w:t>
      </w:r>
      <w:r w:rsidR="005C5627" w:rsidRPr="00317A2E">
        <w:rPr>
          <w:sz w:val="20"/>
        </w:rPr>
        <w:t>network</w:t>
      </w:r>
      <w:r w:rsidR="00E410CA" w:rsidRPr="00317A2E">
        <w:rPr>
          <w:sz w:val="20"/>
        </w:rPr>
        <w:t>-</w:t>
      </w:r>
      <w:r w:rsidR="002B038D" w:rsidRPr="00317A2E">
        <w:rPr>
          <w:sz w:val="20"/>
        </w:rPr>
        <w:t xml:space="preserve">connected </w:t>
      </w:r>
      <w:r w:rsidR="00F26C0E" w:rsidRPr="00317A2E">
        <w:rPr>
          <w:sz w:val="20"/>
        </w:rPr>
        <w:t>battery storage</w:t>
      </w:r>
      <w:r w:rsidR="002B038D" w:rsidRPr="00317A2E">
        <w:rPr>
          <w:sz w:val="20"/>
        </w:rPr>
        <w:t xml:space="preserve"> projects</w:t>
      </w:r>
      <w:r w:rsidR="00E410CA" w:rsidRPr="00317A2E">
        <w:rPr>
          <w:sz w:val="20"/>
        </w:rPr>
        <w:t xml:space="preserve"> who</w:t>
      </w:r>
      <w:r w:rsidR="005C5627" w:rsidRPr="00317A2E">
        <w:rPr>
          <w:sz w:val="20"/>
        </w:rPr>
        <w:t xml:space="preserve"> have requested </w:t>
      </w:r>
      <w:r w:rsidR="00666719" w:rsidRPr="00317A2E">
        <w:rPr>
          <w:sz w:val="20"/>
        </w:rPr>
        <w:t xml:space="preserve">information relevant to installation and operation of </w:t>
      </w:r>
      <w:r w:rsidR="002B038D" w:rsidRPr="00317A2E">
        <w:rPr>
          <w:sz w:val="20"/>
        </w:rPr>
        <w:t xml:space="preserve">both </w:t>
      </w:r>
      <w:r w:rsidR="00666719" w:rsidRPr="00317A2E">
        <w:rPr>
          <w:sz w:val="20"/>
        </w:rPr>
        <w:t>standalone battery systems as well as battery systems installed with new or existing generation</w:t>
      </w:r>
      <w:r w:rsidR="002B038D" w:rsidRPr="00317A2E">
        <w:rPr>
          <w:sz w:val="20"/>
        </w:rPr>
        <w:t xml:space="preserve">. </w:t>
      </w:r>
      <w:r w:rsidR="00F26C0E" w:rsidRPr="00317A2E">
        <w:rPr>
          <w:sz w:val="20"/>
        </w:rPr>
        <w:t xml:space="preserve">This document </w:t>
      </w:r>
      <w:r w:rsidR="00666719" w:rsidRPr="00317A2E">
        <w:rPr>
          <w:sz w:val="20"/>
        </w:rPr>
        <w:t xml:space="preserve">provides guidance on AEMO’s </w:t>
      </w:r>
      <w:r w:rsidR="00FB7BA6" w:rsidRPr="00317A2E">
        <w:rPr>
          <w:sz w:val="20"/>
        </w:rPr>
        <w:t xml:space="preserve">view on how the NER can be applied to </w:t>
      </w:r>
      <w:r w:rsidR="0032575B">
        <w:rPr>
          <w:sz w:val="20"/>
        </w:rPr>
        <w:t xml:space="preserve">utility scale </w:t>
      </w:r>
      <w:r w:rsidR="00FB7BA6" w:rsidRPr="00317A2E">
        <w:rPr>
          <w:sz w:val="20"/>
        </w:rPr>
        <w:t>batteries in the short term</w:t>
      </w:r>
      <w:r w:rsidR="0032575B">
        <w:rPr>
          <w:sz w:val="20"/>
        </w:rPr>
        <w:t>,</w:t>
      </w:r>
      <w:r w:rsidR="008173A6" w:rsidRPr="00317A2E">
        <w:rPr>
          <w:sz w:val="20"/>
        </w:rPr>
        <w:t xml:space="preserve"> </w:t>
      </w:r>
      <w:r w:rsidR="00E410CA" w:rsidRPr="00317A2E">
        <w:rPr>
          <w:sz w:val="20"/>
        </w:rPr>
        <w:t>pending an</w:t>
      </w:r>
      <w:r w:rsidR="008173A6" w:rsidRPr="00317A2E">
        <w:rPr>
          <w:sz w:val="20"/>
        </w:rPr>
        <w:t xml:space="preserve"> investigat</w:t>
      </w:r>
      <w:r w:rsidR="00E410CA" w:rsidRPr="00317A2E">
        <w:rPr>
          <w:sz w:val="20"/>
        </w:rPr>
        <w:t>ion into</w:t>
      </w:r>
      <w:r w:rsidR="008173A6" w:rsidRPr="00317A2E">
        <w:rPr>
          <w:sz w:val="20"/>
        </w:rPr>
        <w:t xml:space="preserve"> the security and reliability service potential of </w:t>
      </w:r>
      <w:r w:rsidR="0032575B">
        <w:rPr>
          <w:sz w:val="20"/>
        </w:rPr>
        <w:t>the technology</w:t>
      </w:r>
      <w:r w:rsidR="00FB7BA6" w:rsidRPr="00317A2E">
        <w:rPr>
          <w:sz w:val="20"/>
        </w:rPr>
        <w:t>.</w:t>
      </w:r>
    </w:p>
    <w:p w14:paraId="3F51E846" w14:textId="1B16AAC4" w:rsidR="001B08EA" w:rsidRPr="00F43FA7" w:rsidRDefault="00803A21" w:rsidP="001B08EA">
      <w:pPr>
        <w:pStyle w:val="BodyText"/>
        <w:rPr>
          <w:b/>
        </w:rPr>
      </w:pPr>
      <w:r>
        <w:rPr>
          <w:b/>
        </w:rPr>
        <w:t>Interim arrangements to inform review of Rules framework applying to energy storage</w:t>
      </w:r>
    </w:p>
    <w:p w14:paraId="65BCE539" w14:textId="39F29E2E" w:rsidR="00803A21" w:rsidRDefault="00E410CA" w:rsidP="001B08EA">
      <w:pPr>
        <w:pStyle w:val="BodyText"/>
        <w:rPr>
          <w:sz w:val="20"/>
        </w:rPr>
      </w:pPr>
      <w:r w:rsidRPr="00317A2E">
        <w:rPr>
          <w:sz w:val="20"/>
        </w:rPr>
        <w:t>While the comments detailed</w:t>
      </w:r>
      <w:r w:rsidR="001B08EA" w:rsidRPr="00317A2E">
        <w:rPr>
          <w:sz w:val="20"/>
        </w:rPr>
        <w:t xml:space="preserve"> in this document reflect the existing NER</w:t>
      </w:r>
      <w:r w:rsidRPr="00317A2E">
        <w:rPr>
          <w:sz w:val="20"/>
        </w:rPr>
        <w:t>,</w:t>
      </w:r>
      <w:r w:rsidR="001B08EA" w:rsidRPr="00317A2E">
        <w:rPr>
          <w:sz w:val="20"/>
        </w:rPr>
        <w:t xml:space="preserve"> AEMO considers that there </w:t>
      </w:r>
      <w:r w:rsidR="00803A21">
        <w:rPr>
          <w:sz w:val="20"/>
        </w:rPr>
        <w:t>may be</w:t>
      </w:r>
      <w:r w:rsidR="001B08EA" w:rsidRPr="00317A2E">
        <w:rPr>
          <w:sz w:val="20"/>
        </w:rPr>
        <w:t xml:space="preserve"> scope to improve the NER </w:t>
      </w:r>
      <w:r w:rsidR="00FB7BA6" w:rsidRPr="00317A2E">
        <w:rPr>
          <w:sz w:val="20"/>
        </w:rPr>
        <w:t xml:space="preserve">as </w:t>
      </w:r>
      <w:r w:rsidRPr="00317A2E">
        <w:rPr>
          <w:sz w:val="20"/>
        </w:rPr>
        <w:t xml:space="preserve">they </w:t>
      </w:r>
      <w:r w:rsidR="00FB7BA6" w:rsidRPr="00317A2E">
        <w:rPr>
          <w:sz w:val="20"/>
        </w:rPr>
        <w:t>appl</w:t>
      </w:r>
      <w:r w:rsidRPr="00317A2E">
        <w:rPr>
          <w:sz w:val="20"/>
        </w:rPr>
        <w:t>y</w:t>
      </w:r>
      <w:r w:rsidR="00FB7BA6" w:rsidRPr="00317A2E">
        <w:rPr>
          <w:sz w:val="20"/>
        </w:rPr>
        <w:t xml:space="preserve"> to batteries (and potentially </w:t>
      </w:r>
      <w:r w:rsidR="001B08EA" w:rsidRPr="00317A2E">
        <w:rPr>
          <w:sz w:val="20"/>
        </w:rPr>
        <w:t>other forms of s</w:t>
      </w:r>
      <w:r w:rsidR="00FB7BA6" w:rsidRPr="00317A2E">
        <w:rPr>
          <w:sz w:val="20"/>
        </w:rPr>
        <w:t>torage)</w:t>
      </w:r>
      <w:r w:rsidR="001B08EA" w:rsidRPr="00317A2E">
        <w:rPr>
          <w:sz w:val="20"/>
        </w:rPr>
        <w:t xml:space="preserve">. </w:t>
      </w:r>
      <w:r w:rsidR="00803A21">
        <w:rPr>
          <w:sz w:val="20"/>
        </w:rPr>
        <w:t xml:space="preserve">AEMO intends to work with stakeholders, international experts and the AEMC to review our experience under the current framework and assess whether there is scope for improvement. </w:t>
      </w:r>
    </w:p>
    <w:p w14:paraId="2FE23973" w14:textId="4CBF51B4" w:rsidR="001B08EA" w:rsidRPr="00317A2E" w:rsidRDefault="00803A21" w:rsidP="00803A21">
      <w:pPr>
        <w:pStyle w:val="BodyText"/>
        <w:rPr>
          <w:sz w:val="20"/>
        </w:rPr>
      </w:pPr>
      <w:r>
        <w:rPr>
          <w:sz w:val="20"/>
        </w:rPr>
        <w:t>AEMO will conduct it</w:t>
      </w:r>
      <w:r w:rsidR="00D03093">
        <w:rPr>
          <w:sz w:val="20"/>
        </w:rPr>
        <w:t>s review over the next 12 months</w:t>
      </w:r>
      <w:r>
        <w:rPr>
          <w:sz w:val="20"/>
        </w:rPr>
        <w:t xml:space="preserve">. </w:t>
      </w:r>
      <w:r w:rsidRPr="00317A2E">
        <w:rPr>
          <w:sz w:val="20"/>
        </w:rPr>
        <w:t>The experience that AEMO and other i</w:t>
      </w:r>
      <w:r>
        <w:rPr>
          <w:sz w:val="20"/>
        </w:rPr>
        <w:t xml:space="preserve">nterested parties gain under the interim arrangements </w:t>
      </w:r>
      <w:r w:rsidRPr="00317A2E">
        <w:rPr>
          <w:sz w:val="20"/>
        </w:rPr>
        <w:t xml:space="preserve">will be invaluable in developing </w:t>
      </w:r>
      <w:r>
        <w:rPr>
          <w:sz w:val="20"/>
        </w:rPr>
        <w:t xml:space="preserve">comprehensive and </w:t>
      </w:r>
      <w:r w:rsidRPr="00317A2E">
        <w:rPr>
          <w:sz w:val="20"/>
        </w:rPr>
        <w:t>robust long term arrangements.</w:t>
      </w:r>
      <w:r w:rsidR="00D03093">
        <w:rPr>
          <w:sz w:val="20"/>
        </w:rPr>
        <w:t xml:space="preserve"> </w:t>
      </w:r>
      <w:r w:rsidR="001B08EA" w:rsidRPr="00317A2E">
        <w:rPr>
          <w:sz w:val="20"/>
        </w:rPr>
        <w:t xml:space="preserve">While this is underway, we </w:t>
      </w:r>
      <w:r w:rsidR="00D03093">
        <w:rPr>
          <w:sz w:val="20"/>
        </w:rPr>
        <w:t>suggest</w:t>
      </w:r>
      <w:r w:rsidR="001B08EA" w:rsidRPr="00317A2E">
        <w:rPr>
          <w:sz w:val="20"/>
        </w:rPr>
        <w:t xml:space="preserve"> t</w:t>
      </w:r>
      <w:r w:rsidR="00E410CA" w:rsidRPr="00317A2E">
        <w:rPr>
          <w:sz w:val="20"/>
        </w:rPr>
        <w:t>hat</w:t>
      </w:r>
      <w:r w:rsidR="001B08EA" w:rsidRPr="00317A2E">
        <w:rPr>
          <w:sz w:val="20"/>
        </w:rPr>
        <w:t xml:space="preserve"> </w:t>
      </w:r>
      <w:r w:rsidR="00E410CA" w:rsidRPr="00317A2E">
        <w:rPr>
          <w:sz w:val="20"/>
        </w:rPr>
        <w:t xml:space="preserve">the current arrangements </w:t>
      </w:r>
      <w:r w:rsidR="00F74A30" w:rsidRPr="00317A2E">
        <w:rPr>
          <w:sz w:val="20"/>
        </w:rPr>
        <w:t xml:space="preserve">could </w:t>
      </w:r>
      <w:r w:rsidR="001B08EA" w:rsidRPr="00317A2E">
        <w:rPr>
          <w:sz w:val="20"/>
        </w:rPr>
        <w:t xml:space="preserve">transition to </w:t>
      </w:r>
      <w:r w:rsidR="00E410CA" w:rsidRPr="00317A2E">
        <w:rPr>
          <w:sz w:val="20"/>
        </w:rPr>
        <w:t xml:space="preserve">a </w:t>
      </w:r>
      <w:r w:rsidR="001B08EA" w:rsidRPr="00317A2E">
        <w:rPr>
          <w:sz w:val="20"/>
        </w:rPr>
        <w:t xml:space="preserve">new framework if and when the changes to the NER are introduced. </w:t>
      </w:r>
    </w:p>
    <w:p w14:paraId="23B14E16" w14:textId="1DC7CAC8" w:rsidR="00EE31DB" w:rsidRDefault="00EE31DB" w:rsidP="00803A21">
      <w:pPr>
        <w:pStyle w:val="BodyText"/>
        <w:rPr>
          <w:b/>
        </w:rPr>
      </w:pPr>
    </w:p>
    <w:p w14:paraId="4841C24C" w14:textId="39DA94E0" w:rsidR="00EE31DB" w:rsidRPr="00EE31DB" w:rsidRDefault="00EE31DB" w:rsidP="00EE31DB">
      <w:pPr>
        <w:pStyle w:val="Title"/>
        <w:rPr>
          <w:sz w:val="24"/>
          <w:szCs w:val="24"/>
        </w:rPr>
      </w:pPr>
      <w:r w:rsidRPr="00EE31DB">
        <w:rPr>
          <w:sz w:val="24"/>
          <w:szCs w:val="24"/>
        </w:rPr>
        <w:t>Overview of interim arrangement</w:t>
      </w:r>
      <w:r>
        <w:rPr>
          <w:sz w:val="24"/>
          <w:szCs w:val="24"/>
        </w:rPr>
        <w:t>s</w:t>
      </w:r>
    </w:p>
    <w:p w14:paraId="7D341728" w14:textId="64AC5BF9" w:rsidR="005C5627" w:rsidRDefault="00803A21" w:rsidP="00803A21">
      <w:pPr>
        <w:pStyle w:val="BodyText"/>
        <w:rPr>
          <w:b/>
        </w:rPr>
      </w:pPr>
      <w:r>
        <w:rPr>
          <w:b/>
        </w:rPr>
        <w:t>Registration</w:t>
      </w:r>
    </w:p>
    <w:p w14:paraId="3F970B32" w14:textId="7CEB7177" w:rsidR="00C45B62" w:rsidRPr="00317A2E" w:rsidRDefault="003E536F" w:rsidP="003E5C30">
      <w:pPr>
        <w:pStyle w:val="BodyText"/>
        <w:rPr>
          <w:sz w:val="20"/>
        </w:rPr>
      </w:pPr>
      <w:r w:rsidRPr="00317A2E">
        <w:rPr>
          <w:sz w:val="20"/>
        </w:rPr>
        <w:t xml:space="preserve">AEMO’s policy is that </w:t>
      </w:r>
      <w:r w:rsidR="00F74A30" w:rsidRPr="00317A2E">
        <w:rPr>
          <w:sz w:val="20"/>
        </w:rPr>
        <w:t>proponents of</w:t>
      </w:r>
      <w:r w:rsidRPr="00317A2E">
        <w:rPr>
          <w:sz w:val="20"/>
        </w:rPr>
        <w:t xml:space="preserve"> </w:t>
      </w:r>
      <w:r w:rsidR="00B3475E" w:rsidRPr="00317A2E">
        <w:rPr>
          <w:sz w:val="20"/>
        </w:rPr>
        <w:t xml:space="preserve">battery systems with an aggregate nameplate </w:t>
      </w:r>
      <w:r w:rsidR="007A0AF5">
        <w:rPr>
          <w:sz w:val="20"/>
        </w:rPr>
        <w:t xml:space="preserve">rating </w:t>
      </w:r>
      <w:r w:rsidRPr="00317A2E">
        <w:rPr>
          <w:sz w:val="20"/>
        </w:rPr>
        <w:t xml:space="preserve">greater than </w:t>
      </w:r>
      <w:r w:rsidR="00B3475E" w:rsidRPr="00317A2E">
        <w:rPr>
          <w:sz w:val="20"/>
        </w:rPr>
        <w:t xml:space="preserve">or equal to </w:t>
      </w:r>
      <w:r w:rsidRPr="00317A2E">
        <w:rPr>
          <w:sz w:val="20"/>
        </w:rPr>
        <w:t xml:space="preserve">5 MW, whether directly connected to </w:t>
      </w:r>
      <w:r w:rsidR="00F257EF" w:rsidRPr="00317A2E">
        <w:rPr>
          <w:sz w:val="20"/>
        </w:rPr>
        <w:t>the network</w:t>
      </w:r>
      <w:r w:rsidR="009161F3" w:rsidRPr="00317A2E">
        <w:rPr>
          <w:sz w:val="20"/>
        </w:rPr>
        <w:t xml:space="preserve"> or integrated behind</w:t>
      </w:r>
      <w:r w:rsidR="00F74A30" w:rsidRPr="00317A2E">
        <w:rPr>
          <w:sz w:val="20"/>
        </w:rPr>
        <w:t xml:space="preserve"> </w:t>
      </w:r>
      <w:r w:rsidR="009161F3" w:rsidRPr="00317A2E">
        <w:rPr>
          <w:sz w:val="20"/>
        </w:rPr>
        <w:t>the</w:t>
      </w:r>
      <w:r w:rsidR="00F74A30" w:rsidRPr="00317A2E">
        <w:rPr>
          <w:sz w:val="20"/>
        </w:rPr>
        <w:t xml:space="preserve"> </w:t>
      </w:r>
      <w:r w:rsidR="009161F3" w:rsidRPr="00317A2E">
        <w:rPr>
          <w:sz w:val="20"/>
        </w:rPr>
        <w:t xml:space="preserve">meter with new or existing generation </w:t>
      </w:r>
      <w:r w:rsidR="00B3475E" w:rsidRPr="00317A2E">
        <w:rPr>
          <w:sz w:val="20"/>
        </w:rPr>
        <w:t>are to</w:t>
      </w:r>
      <w:r w:rsidRPr="00317A2E">
        <w:rPr>
          <w:sz w:val="20"/>
        </w:rPr>
        <w:t xml:space="preserve"> be registered</w:t>
      </w:r>
      <w:r w:rsidR="009161F3" w:rsidRPr="00317A2E">
        <w:rPr>
          <w:sz w:val="20"/>
        </w:rPr>
        <w:t xml:space="preserve"> </w:t>
      </w:r>
      <w:r w:rsidRPr="00317A2E">
        <w:rPr>
          <w:sz w:val="20"/>
        </w:rPr>
        <w:t>as both Generat</w:t>
      </w:r>
      <w:r w:rsidR="00F74A30" w:rsidRPr="00317A2E">
        <w:rPr>
          <w:sz w:val="20"/>
        </w:rPr>
        <w:t>ors</w:t>
      </w:r>
      <w:r w:rsidRPr="00317A2E">
        <w:rPr>
          <w:sz w:val="20"/>
        </w:rPr>
        <w:t xml:space="preserve"> </w:t>
      </w:r>
      <w:r w:rsidRPr="00187B0E">
        <w:rPr>
          <w:sz w:val="20"/>
        </w:rPr>
        <w:t>and</w:t>
      </w:r>
      <w:r w:rsidRPr="00317A2E">
        <w:rPr>
          <w:sz w:val="20"/>
        </w:rPr>
        <w:t xml:space="preserve"> </w:t>
      </w:r>
      <w:r w:rsidR="00F74A30" w:rsidRPr="00317A2E">
        <w:rPr>
          <w:sz w:val="20"/>
        </w:rPr>
        <w:t>Market Customers</w:t>
      </w:r>
      <w:r w:rsidR="00847DDB" w:rsidRPr="00317A2E">
        <w:rPr>
          <w:sz w:val="20"/>
        </w:rPr>
        <w:t>.</w:t>
      </w:r>
      <w:r w:rsidR="00F74A30" w:rsidRPr="00317A2E">
        <w:rPr>
          <w:sz w:val="20"/>
        </w:rPr>
        <w:t xml:space="preserve"> Their generating units should be classified as scheduled and market, and the load classified as scheduled load.</w:t>
      </w:r>
      <w:r w:rsidR="00E604E3">
        <w:rPr>
          <w:sz w:val="20"/>
        </w:rPr>
        <w:t xml:space="preserve"> </w:t>
      </w:r>
      <w:r w:rsidR="00C300A6">
        <w:rPr>
          <w:rFonts w:ascii="Arial" w:hAnsi="Arial" w:cs="Arial"/>
          <w:sz w:val="20"/>
        </w:rPr>
        <w:t>In the case of a generating system with a battery that is integrated with another type of generation and will never be charging from the grid, AEMO will consider a proposal that the proponent not register as a Market Customer, provided that appropriate arrangements are put in place for the charging activity to be dispatched through central dispatch for reasons of power system security and operation.</w:t>
      </w:r>
    </w:p>
    <w:p w14:paraId="0B5C7B30" w14:textId="43766B9D" w:rsidR="00847DDB" w:rsidRPr="00317A2E" w:rsidRDefault="000E7CE2" w:rsidP="003E5C30">
      <w:pPr>
        <w:pStyle w:val="BodyText"/>
        <w:rPr>
          <w:sz w:val="20"/>
        </w:rPr>
      </w:pPr>
      <w:r w:rsidRPr="00317A2E">
        <w:rPr>
          <w:sz w:val="20"/>
        </w:rPr>
        <w:lastRenderedPageBreak/>
        <w:t xml:space="preserve">AEMO has recently </w:t>
      </w:r>
      <w:r w:rsidR="00F74A30" w:rsidRPr="00317A2E">
        <w:rPr>
          <w:sz w:val="20"/>
        </w:rPr>
        <w:t xml:space="preserve">updated </w:t>
      </w:r>
      <w:r w:rsidRPr="00317A2E">
        <w:rPr>
          <w:sz w:val="20"/>
        </w:rPr>
        <w:t xml:space="preserve">its </w:t>
      </w:r>
      <w:r w:rsidR="00352D14">
        <w:rPr>
          <w:sz w:val="20"/>
        </w:rPr>
        <w:t>‘</w:t>
      </w:r>
      <w:r w:rsidR="00363125" w:rsidRPr="00363125">
        <w:rPr>
          <w:sz w:val="20"/>
        </w:rPr>
        <w:t>Classification and Exemption Guide</w:t>
      </w:r>
      <w:r w:rsidR="00352D14">
        <w:rPr>
          <w:sz w:val="20"/>
        </w:rPr>
        <w:t>’</w:t>
      </w:r>
      <w:r w:rsidR="00363125" w:rsidRPr="00317A2E" w:rsidDel="00363125">
        <w:rPr>
          <w:sz w:val="20"/>
        </w:rPr>
        <w:t xml:space="preserve"> </w:t>
      </w:r>
      <w:r w:rsidRPr="00317A2E">
        <w:rPr>
          <w:sz w:val="20"/>
        </w:rPr>
        <w:t xml:space="preserve">and </w:t>
      </w:r>
      <w:r w:rsidR="00363125" w:rsidRPr="00363125">
        <w:rPr>
          <w:sz w:val="20"/>
        </w:rPr>
        <w:t>‘Generator Registration Guide’</w:t>
      </w:r>
      <w:r w:rsidRPr="00317A2E">
        <w:rPr>
          <w:sz w:val="20"/>
        </w:rPr>
        <w:t xml:space="preserve"> to reflect this</w:t>
      </w:r>
      <w:r w:rsidR="00DD5502">
        <w:rPr>
          <w:sz w:val="20"/>
        </w:rPr>
        <w:t>.</w:t>
      </w:r>
      <w:r w:rsidR="00DD5502">
        <w:rPr>
          <w:rStyle w:val="FootnoteReference"/>
          <w:sz w:val="20"/>
        </w:rPr>
        <w:footnoteReference w:id="2"/>
      </w:r>
    </w:p>
    <w:p w14:paraId="3DD39D7B" w14:textId="71596DD7" w:rsidR="00EE31DB" w:rsidRDefault="00EE31DB">
      <w:pPr>
        <w:rPr>
          <w:b/>
          <w:sz w:val="22"/>
        </w:rPr>
      </w:pPr>
      <w:r>
        <w:rPr>
          <w:b/>
        </w:rPr>
        <w:t>Metering</w:t>
      </w:r>
    </w:p>
    <w:p w14:paraId="5A29E9E9" w14:textId="32A1EC15" w:rsidR="00053B31" w:rsidRPr="00317A2E" w:rsidRDefault="00053B31" w:rsidP="003E5C30">
      <w:pPr>
        <w:pStyle w:val="BodyText"/>
        <w:rPr>
          <w:sz w:val="20"/>
        </w:rPr>
      </w:pPr>
      <w:r w:rsidRPr="00317A2E">
        <w:rPr>
          <w:sz w:val="20"/>
        </w:rPr>
        <w:t xml:space="preserve">As with any other new or modified generation project, AEMO will assess proposed metering arrangements on </w:t>
      </w:r>
      <w:r w:rsidR="00220946">
        <w:rPr>
          <w:sz w:val="20"/>
        </w:rPr>
        <w:t xml:space="preserve">a </w:t>
      </w:r>
      <w:bookmarkStart w:id="0" w:name="_GoBack"/>
      <w:bookmarkEnd w:id="0"/>
      <w:r w:rsidRPr="00317A2E">
        <w:rPr>
          <w:sz w:val="20"/>
        </w:rPr>
        <w:t xml:space="preserve">case-by-case </w:t>
      </w:r>
      <w:r w:rsidR="00F74A30" w:rsidRPr="00317A2E">
        <w:rPr>
          <w:sz w:val="20"/>
        </w:rPr>
        <w:t xml:space="preserve">basis </w:t>
      </w:r>
      <w:r w:rsidRPr="00317A2E">
        <w:rPr>
          <w:sz w:val="20"/>
        </w:rPr>
        <w:t>for battery energy systems. Stakeholders should consider the following principles when developing a proposal for generation and load for a battery system</w:t>
      </w:r>
      <w:r w:rsidR="00020602" w:rsidRPr="00317A2E">
        <w:rPr>
          <w:sz w:val="20"/>
        </w:rPr>
        <w:t xml:space="preserve"> of 5MW or greater</w:t>
      </w:r>
      <w:r w:rsidRPr="00317A2E">
        <w:rPr>
          <w:sz w:val="20"/>
        </w:rPr>
        <w:t>:</w:t>
      </w:r>
    </w:p>
    <w:p w14:paraId="6A735D7A" w14:textId="2C6A63FD" w:rsidR="00C45B62" w:rsidRPr="00317A2E" w:rsidRDefault="009C0062" w:rsidP="00053B31">
      <w:pPr>
        <w:pStyle w:val="BodyText"/>
        <w:numPr>
          <w:ilvl w:val="0"/>
          <w:numId w:val="15"/>
        </w:numPr>
        <w:rPr>
          <w:sz w:val="20"/>
        </w:rPr>
      </w:pPr>
      <w:r w:rsidRPr="00317A2E">
        <w:rPr>
          <w:sz w:val="20"/>
        </w:rPr>
        <w:t>Parties must register a metering installation with AEMO prior to being able to operate in the NEM</w:t>
      </w:r>
      <w:r w:rsidR="000E7CE2" w:rsidRPr="00317A2E">
        <w:rPr>
          <w:sz w:val="20"/>
        </w:rPr>
        <w:t>.</w:t>
      </w:r>
      <w:r w:rsidRPr="00317A2E">
        <w:rPr>
          <w:rStyle w:val="FootnoteReference"/>
          <w:sz w:val="20"/>
        </w:rPr>
        <w:footnoteReference w:id="3"/>
      </w:r>
      <w:r w:rsidRPr="00317A2E">
        <w:rPr>
          <w:sz w:val="20"/>
        </w:rPr>
        <w:t xml:space="preserve"> </w:t>
      </w:r>
      <w:r w:rsidR="00053B31" w:rsidRPr="00317A2E">
        <w:rPr>
          <w:sz w:val="20"/>
        </w:rPr>
        <w:t xml:space="preserve"> </w:t>
      </w:r>
    </w:p>
    <w:p w14:paraId="5DF40965" w14:textId="4F6CF4B4" w:rsidR="009E3855" w:rsidRPr="00317A2E" w:rsidRDefault="009E3855" w:rsidP="00053B31">
      <w:pPr>
        <w:pStyle w:val="BodyText"/>
        <w:numPr>
          <w:ilvl w:val="0"/>
          <w:numId w:val="15"/>
        </w:numPr>
        <w:rPr>
          <w:sz w:val="20"/>
        </w:rPr>
      </w:pPr>
      <w:r w:rsidRPr="00317A2E">
        <w:rPr>
          <w:sz w:val="20"/>
        </w:rPr>
        <w:t xml:space="preserve">Battery systems may be connected through one, two or more connection points </w:t>
      </w:r>
      <w:r w:rsidR="00F74A30" w:rsidRPr="00317A2E">
        <w:rPr>
          <w:sz w:val="20"/>
        </w:rPr>
        <w:t xml:space="preserve">to </w:t>
      </w:r>
      <w:r w:rsidRPr="00317A2E">
        <w:rPr>
          <w:sz w:val="20"/>
        </w:rPr>
        <w:t xml:space="preserve">the network. A </w:t>
      </w:r>
      <w:r w:rsidR="002B4ADB" w:rsidRPr="00317A2E">
        <w:rPr>
          <w:sz w:val="20"/>
        </w:rPr>
        <w:t>NER</w:t>
      </w:r>
      <w:r w:rsidR="00F74A30" w:rsidRPr="00317A2E">
        <w:rPr>
          <w:sz w:val="20"/>
        </w:rPr>
        <w:t>-</w:t>
      </w:r>
      <w:r w:rsidRPr="00317A2E">
        <w:rPr>
          <w:sz w:val="20"/>
        </w:rPr>
        <w:t xml:space="preserve">compliant metering installation will be required </w:t>
      </w:r>
      <w:r w:rsidR="00020602" w:rsidRPr="00317A2E">
        <w:rPr>
          <w:sz w:val="20"/>
        </w:rPr>
        <w:t>for</w:t>
      </w:r>
      <w:r w:rsidRPr="00317A2E">
        <w:rPr>
          <w:sz w:val="20"/>
        </w:rPr>
        <w:t xml:space="preserve"> each connection point</w:t>
      </w:r>
      <w:r w:rsidR="00F74A30" w:rsidRPr="00317A2E">
        <w:rPr>
          <w:sz w:val="20"/>
        </w:rPr>
        <w:t>.</w:t>
      </w:r>
      <w:r w:rsidRPr="00317A2E">
        <w:rPr>
          <w:rStyle w:val="FootnoteReference"/>
          <w:sz w:val="20"/>
        </w:rPr>
        <w:footnoteReference w:id="4"/>
      </w:r>
    </w:p>
    <w:p w14:paraId="501925A9" w14:textId="1399D856" w:rsidR="00D85987" w:rsidRPr="00317A2E" w:rsidRDefault="00D85987" w:rsidP="00053B31">
      <w:pPr>
        <w:pStyle w:val="BodyText"/>
        <w:numPr>
          <w:ilvl w:val="0"/>
          <w:numId w:val="15"/>
        </w:numPr>
        <w:rPr>
          <w:sz w:val="20"/>
        </w:rPr>
      </w:pPr>
      <w:r w:rsidRPr="00317A2E">
        <w:rPr>
          <w:sz w:val="20"/>
        </w:rPr>
        <w:t xml:space="preserve">Parties considering </w:t>
      </w:r>
      <w:r w:rsidR="00020602" w:rsidRPr="00317A2E">
        <w:rPr>
          <w:sz w:val="20"/>
        </w:rPr>
        <w:t xml:space="preserve">a single connection point for charge and discharge of the battery system </w:t>
      </w:r>
      <w:r w:rsidR="00F74A30" w:rsidRPr="00317A2E">
        <w:rPr>
          <w:sz w:val="20"/>
        </w:rPr>
        <w:t>must ensure that there is</w:t>
      </w:r>
      <w:r w:rsidR="00020602" w:rsidRPr="00317A2E">
        <w:rPr>
          <w:sz w:val="20"/>
        </w:rPr>
        <w:t xml:space="preserve"> a single Financially Responsible Market Participant (FRMP)</w:t>
      </w:r>
      <w:r w:rsidR="00F74A30" w:rsidRPr="00317A2E">
        <w:rPr>
          <w:sz w:val="20"/>
        </w:rPr>
        <w:t xml:space="preserve"> registered for that connection point</w:t>
      </w:r>
      <w:r w:rsidR="00020602" w:rsidRPr="00317A2E">
        <w:rPr>
          <w:sz w:val="20"/>
        </w:rPr>
        <w:t>.</w:t>
      </w:r>
      <w:r w:rsidR="00020602" w:rsidRPr="00317A2E">
        <w:rPr>
          <w:rStyle w:val="FootnoteReference"/>
          <w:sz w:val="20"/>
        </w:rPr>
        <w:footnoteReference w:id="5"/>
      </w:r>
      <w:r w:rsidR="00020602" w:rsidRPr="00317A2E">
        <w:rPr>
          <w:sz w:val="20"/>
        </w:rPr>
        <w:t xml:space="preserve"> </w:t>
      </w:r>
      <w:r w:rsidR="00F74A30" w:rsidRPr="00317A2E">
        <w:rPr>
          <w:sz w:val="20"/>
        </w:rPr>
        <w:t>C</w:t>
      </w:r>
      <w:r w:rsidR="002B4ADB" w:rsidRPr="00317A2E">
        <w:rPr>
          <w:sz w:val="20"/>
        </w:rPr>
        <w:t xml:space="preserve">onsideration should be given to the need for individual meters for battery charge and discharge, based on whether batteries </w:t>
      </w:r>
      <w:r w:rsidR="00B24475" w:rsidRPr="00317A2E">
        <w:rPr>
          <w:sz w:val="20"/>
        </w:rPr>
        <w:t xml:space="preserve">are </w:t>
      </w:r>
      <w:r w:rsidR="002B4ADB" w:rsidRPr="00317A2E">
        <w:rPr>
          <w:sz w:val="20"/>
        </w:rPr>
        <w:t>expect</w:t>
      </w:r>
      <w:r w:rsidR="00B24475" w:rsidRPr="00317A2E">
        <w:rPr>
          <w:sz w:val="20"/>
        </w:rPr>
        <w:t>ed</w:t>
      </w:r>
      <w:r w:rsidR="002B4ADB" w:rsidRPr="00317A2E">
        <w:rPr>
          <w:sz w:val="20"/>
        </w:rPr>
        <w:t xml:space="preserve"> to be both charging and discharging in a given 5</w:t>
      </w:r>
      <w:r w:rsidR="00F74A30" w:rsidRPr="00317A2E">
        <w:rPr>
          <w:sz w:val="20"/>
        </w:rPr>
        <w:t>-</w:t>
      </w:r>
      <w:r w:rsidR="002B4ADB" w:rsidRPr="00317A2E">
        <w:rPr>
          <w:sz w:val="20"/>
        </w:rPr>
        <w:t>minute dispatch period (e.g. for provision of</w:t>
      </w:r>
      <w:r w:rsidR="0032575B">
        <w:rPr>
          <w:sz w:val="20"/>
        </w:rPr>
        <w:t xml:space="preserve"> contingency</w:t>
      </w:r>
      <w:r w:rsidR="002B4ADB" w:rsidRPr="00317A2E">
        <w:rPr>
          <w:sz w:val="20"/>
        </w:rPr>
        <w:t xml:space="preserve"> F</w:t>
      </w:r>
      <w:r w:rsidR="004664D4" w:rsidRPr="00317A2E">
        <w:rPr>
          <w:sz w:val="20"/>
        </w:rPr>
        <w:t xml:space="preserve">requency </w:t>
      </w:r>
      <w:r w:rsidR="002B4ADB" w:rsidRPr="00317A2E">
        <w:rPr>
          <w:sz w:val="20"/>
        </w:rPr>
        <w:t>C</w:t>
      </w:r>
      <w:r w:rsidR="004664D4" w:rsidRPr="00317A2E">
        <w:rPr>
          <w:sz w:val="20"/>
        </w:rPr>
        <w:t xml:space="preserve">ontrol </w:t>
      </w:r>
      <w:r w:rsidR="002B4ADB" w:rsidRPr="00317A2E">
        <w:rPr>
          <w:sz w:val="20"/>
        </w:rPr>
        <w:t>A</w:t>
      </w:r>
      <w:r w:rsidR="004664D4" w:rsidRPr="00317A2E">
        <w:rPr>
          <w:sz w:val="20"/>
        </w:rPr>
        <w:t xml:space="preserve">ncillary </w:t>
      </w:r>
      <w:r w:rsidR="002B4ADB" w:rsidRPr="00317A2E">
        <w:rPr>
          <w:sz w:val="20"/>
        </w:rPr>
        <w:t>S</w:t>
      </w:r>
      <w:r w:rsidR="004664D4" w:rsidRPr="00317A2E">
        <w:rPr>
          <w:sz w:val="20"/>
        </w:rPr>
        <w:t>ervices</w:t>
      </w:r>
      <w:r w:rsidR="004664D4" w:rsidRPr="00317A2E">
        <w:rPr>
          <w:rStyle w:val="FootnoteReference"/>
          <w:sz w:val="20"/>
        </w:rPr>
        <w:footnoteReference w:id="6"/>
      </w:r>
      <w:r w:rsidR="004664D4" w:rsidRPr="00317A2E">
        <w:rPr>
          <w:sz w:val="20"/>
        </w:rPr>
        <w:t xml:space="preserve"> (FCAS)</w:t>
      </w:r>
      <w:r w:rsidR="002B4ADB" w:rsidRPr="00317A2E">
        <w:rPr>
          <w:sz w:val="20"/>
        </w:rPr>
        <w:t xml:space="preserve">). </w:t>
      </w:r>
    </w:p>
    <w:p w14:paraId="7CFA8718" w14:textId="2302C26A" w:rsidR="00020602" w:rsidRPr="00317A2E" w:rsidRDefault="00965625" w:rsidP="00053B31">
      <w:pPr>
        <w:pStyle w:val="BodyText"/>
        <w:numPr>
          <w:ilvl w:val="0"/>
          <w:numId w:val="15"/>
        </w:numPr>
        <w:rPr>
          <w:sz w:val="20"/>
        </w:rPr>
      </w:pPr>
      <w:r w:rsidRPr="00317A2E">
        <w:rPr>
          <w:sz w:val="20"/>
        </w:rPr>
        <w:t>Multiple</w:t>
      </w:r>
      <w:r w:rsidR="00020602" w:rsidRPr="00317A2E">
        <w:rPr>
          <w:sz w:val="20"/>
        </w:rPr>
        <w:t xml:space="preserve"> </w:t>
      </w:r>
      <w:r w:rsidR="002B4ADB" w:rsidRPr="00317A2E">
        <w:rPr>
          <w:sz w:val="20"/>
        </w:rPr>
        <w:t xml:space="preserve">(i.e. two or more) </w:t>
      </w:r>
      <w:r w:rsidR="00020602" w:rsidRPr="00317A2E">
        <w:rPr>
          <w:sz w:val="20"/>
        </w:rPr>
        <w:t xml:space="preserve">connection point arrangements </w:t>
      </w:r>
      <w:r w:rsidRPr="00317A2E">
        <w:rPr>
          <w:sz w:val="20"/>
        </w:rPr>
        <w:t xml:space="preserve">for charge and discharge </w:t>
      </w:r>
      <w:r w:rsidR="00020602" w:rsidRPr="00317A2E">
        <w:rPr>
          <w:sz w:val="20"/>
        </w:rPr>
        <w:t xml:space="preserve">can be </w:t>
      </w:r>
      <w:r w:rsidRPr="00317A2E">
        <w:rPr>
          <w:sz w:val="20"/>
        </w:rPr>
        <w:t>accommodated</w:t>
      </w:r>
      <w:r w:rsidR="002B4ADB" w:rsidRPr="00317A2E">
        <w:rPr>
          <w:sz w:val="20"/>
        </w:rPr>
        <w:t xml:space="preserve"> by a NER</w:t>
      </w:r>
      <w:r w:rsidR="00F74A30" w:rsidRPr="00317A2E">
        <w:rPr>
          <w:sz w:val="20"/>
        </w:rPr>
        <w:t>-</w:t>
      </w:r>
      <w:r w:rsidR="002B4ADB" w:rsidRPr="00317A2E">
        <w:rPr>
          <w:sz w:val="20"/>
        </w:rPr>
        <w:t>compliant metering installation</w:t>
      </w:r>
      <w:r w:rsidRPr="00317A2E">
        <w:rPr>
          <w:sz w:val="20"/>
        </w:rPr>
        <w:t xml:space="preserve"> </w:t>
      </w:r>
      <w:r w:rsidR="000E7CE2" w:rsidRPr="00317A2E">
        <w:rPr>
          <w:sz w:val="20"/>
        </w:rPr>
        <w:t xml:space="preserve">but are </w:t>
      </w:r>
      <w:r w:rsidRPr="00317A2E">
        <w:rPr>
          <w:sz w:val="20"/>
        </w:rPr>
        <w:t xml:space="preserve">likely to </w:t>
      </w:r>
      <w:r w:rsidR="000E7CE2" w:rsidRPr="00317A2E">
        <w:rPr>
          <w:sz w:val="20"/>
        </w:rPr>
        <w:t>require additional switching and metering infrastructure.</w:t>
      </w:r>
      <w:r w:rsidR="002B4ADB" w:rsidRPr="00317A2E">
        <w:rPr>
          <w:sz w:val="20"/>
        </w:rPr>
        <w:t xml:space="preserve"> In the case of multiple connection points, separate FRMPs can </w:t>
      </w:r>
      <w:r w:rsidR="005C2B51">
        <w:rPr>
          <w:sz w:val="20"/>
        </w:rPr>
        <w:t xml:space="preserve">be </w:t>
      </w:r>
      <w:r w:rsidR="002B4ADB" w:rsidRPr="00317A2E">
        <w:rPr>
          <w:sz w:val="20"/>
        </w:rPr>
        <w:t>classified for charge and discharge connection points.</w:t>
      </w:r>
    </w:p>
    <w:p w14:paraId="3FD6A304" w14:textId="766F7050" w:rsidR="000E7CE2" w:rsidRPr="00317A2E" w:rsidRDefault="0099395E" w:rsidP="00053B31">
      <w:pPr>
        <w:pStyle w:val="BodyText"/>
        <w:numPr>
          <w:ilvl w:val="0"/>
          <w:numId w:val="15"/>
        </w:numPr>
        <w:rPr>
          <w:sz w:val="20"/>
        </w:rPr>
      </w:pPr>
      <w:r w:rsidRPr="00317A2E">
        <w:rPr>
          <w:sz w:val="20"/>
        </w:rPr>
        <w:t xml:space="preserve">Parties </w:t>
      </w:r>
      <w:r w:rsidR="000E7CE2" w:rsidRPr="00317A2E">
        <w:rPr>
          <w:sz w:val="20"/>
        </w:rPr>
        <w:t xml:space="preserve">looking to generate large scale generation certificates (LGCs) </w:t>
      </w:r>
      <w:r w:rsidR="00F74A30" w:rsidRPr="00317A2E">
        <w:rPr>
          <w:sz w:val="20"/>
        </w:rPr>
        <w:t xml:space="preserve">for </w:t>
      </w:r>
      <w:r w:rsidR="000E7CE2" w:rsidRPr="00317A2E">
        <w:rPr>
          <w:sz w:val="20"/>
        </w:rPr>
        <w:t xml:space="preserve">the </w:t>
      </w:r>
      <w:r w:rsidR="00F74A30" w:rsidRPr="00317A2E">
        <w:rPr>
          <w:sz w:val="20"/>
        </w:rPr>
        <w:t xml:space="preserve">purposes of </w:t>
      </w:r>
      <w:r w:rsidR="000E7CE2" w:rsidRPr="00317A2E">
        <w:rPr>
          <w:sz w:val="20"/>
        </w:rPr>
        <w:t xml:space="preserve">the Renewable Energy Target </w:t>
      </w:r>
      <w:r w:rsidR="0088397F" w:rsidRPr="00317A2E">
        <w:rPr>
          <w:sz w:val="20"/>
        </w:rPr>
        <w:t xml:space="preserve">should </w:t>
      </w:r>
      <w:r w:rsidRPr="00317A2E">
        <w:rPr>
          <w:sz w:val="20"/>
        </w:rPr>
        <w:t>give consideration</w:t>
      </w:r>
      <w:r w:rsidR="0088397F" w:rsidRPr="00317A2E">
        <w:rPr>
          <w:sz w:val="20"/>
        </w:rPr>
        <w:t xml:space="preserve"> to requirements for creating and validating</w:t>
      </w:r>
      <w:r w:rsidR="000E7CE2" w:rsidRPr="00317A2E">
        <w:rPr>
          <w:sz w:val="20"/>
        </w:rPr>
        <w:t xml:space="preserve"> </w:t>
      </w:r>
      <w:r w:rsidR="00966526">
        <w:rPr>
          <w:sz w:val="20"/>
        </w:rPr>
        <w:t xml:space="preserve">LGC claims </w:t>
      </w:r>
      <w:r w:rsidR="0088397F" w:rsidRPr="00317A2E">
        <w:rPr>
          <w:sz w:val="20"/>
        </w:rPr>
        <w:t xml:space="preserve">when </w:t>
      </w:r>
      <w:r w:rsidR="000E7CE2" w:rsidRPr="00317A2E">
        <w:rPr>
          <w:sz w:val="20"/>
        </w:rPr>
        <w:t xml:space="preserve">developing a proposal for a </w:t>
      </w:r>
      <w:r w:rsidR="0088397F" w:rsidRPr="00317A2E">
        <w:rPr>
          <w:sz w:val="20"/>
        </w:rPr>
        <w:t>NER</w:t>
      </w:r>
      <w:r w:rsidR="00F74A30" w:rsidRPr="00317A2E">
        <w:rPr>
          <w:sz w:val="20"/>
        </w:rPr>
        <w:t>-</w:t>
      </w:r>
      <w:r w:rsidR="0088397F" w:rsidRPr="00317A2E">
        <w:rPr>
          <w:sz w:val="20"/>
        </w:rPr>
        <w:t xml:space="preserve">compliant </w:t>
      </w:r>
      <w:r w:rsidR="000E7CE2" w:rsidRPr="00317A2E">
        <w:rPr>
          <w:sz w:val="20"/>
        </w:rPr>
        <w:t>metering installation</w:t>
      </w:r>
      <w:r w:rsidR="0088397F" w:rsidRPr="00317A2E">
        <w:rPr>
          <w:sz w:val="20"/>
        </w:rPr>
        <w:t>.</w:t>
      </w:r>
      <w:r w:rsidR="0088397F" w:rsidRPr="00317A2E">
        <w:rPr>
          <w:rStyle w:val="FootnoteReference"/>
          <w:sz w:val="20"/>
        </w:rPr>
        <w:footnoteReference w:id="7"/>
      </w:r>
      <w:r w:rsidR="000E7CE2" w:rsidRPr="00317A2E">
        <w:rPr>
          <w:sz w:val="20"/>
        </w:rPr>
        <w:t xml:space="preserve"> </w:t>
      </w:r>
    </w:p>
    <w:p w14:paraId="75288B04" w14:textId="6F858811" w:rsidR="002B4ADB" w:rsidRPr="00317A2E" w:rsidRDefault="003668DE" w:rsidP="00053B31">
      <w:pPr>
        <w:pStyle w:val="BodyText"/>
        <w:numPr>
          <w:ilvl w:val="0"/>
          <w:numId w:val="15"/>
        </w:numPr>
        <w:rPr>
          <w:sz w:val="20"/>
        </w:rPr>
      </w:pPr>
      <w:r>
        <w:rPr>
          <w:sz w:val="20"/>
        </w:rPr>
        <w:t>The</w:t>
      </w:r>
      <w:r w:rsidR="008D6E17" w:rsidRPr="00317A2E">
        <w:rPr>
          <w:sz w:val="20"/>
        </w:rPr>
        <w:t xml:space="preserve"> use </w:t>
      </w:r>
      <w:r>
        <w:rPr>
          <w:sz w:val="20"/>
        </w:rPr>
        <w:t>of</w:t>
      </w:r>
      <w:r w:rsidR="008D6E17" w:rsidRPr="00317A2E">
        <w:rPr>
          <w:sz w:val="20"/>
        </w:rPr>
        <w:t xml:space="preserve"> </w:t>
      </w:r>
      <w:r w:rsidR="002B4ADB" w:rsidRPr="00317A2E">
        <w:rPr>
          <w:sz w:val="20"/>
        </w:rPr>
        <w:t>‘logically ca</w:t>
      </w:r>
      <w:r w:rsidR="008D6E17" w:rsidRPr="00317A2E">
        <w:rPr>
          <w:sz w:val="20"/>
        </w:rPr>
        <w:t xml:space="preserve">lculated’ </w:t>
      </w:r>
      <w:r w:rsidR="00AD639C" w:rsidRPr="00317A2E">
        <w:rPr>
          <w:sz w:val="20"/>
        </w:rPr>
        <w:t xml:space="preserve">metering </w:t>
      </w:r>
      <w:r w:rsidR="00966526">
        <w:rPr>
          <w:sz w:val="20"/>
        </w:rPr>
        <w:t xml:space="preserve">arrangements </w:t>
      </w:r>
      <w:r w:rsidR="008D6E17" w:rsidRPr="00317A2E">
        <w:rPr>
          <w:sz w:val="20"/>
        </w:rPr>
        <w:t xml:space="preserve">(i.e. metering inferred via calculation of power flows through balance of plant or other ancillary systems) </w:t>
      </w:r>
      <w:r w:rsidR="00966526">
        <w:rPr>
          <w:sz w:val="20"/>
        </w:rPr>
        <w:t>may be considered by AEMO, but they do not replace the need for NER-compliant metering installations. Logical metering arrangements must be approved by AEMO.</w:t>
      </w:r>
    </w:p>
    <w:p w14:paraId="0F6E5E23" w14:textId="39316D15" w:rsidR="00053B31" w:rsidRDefault="00053B31" w:rsidP="0024769A">
      <w:pPr>
        <w:rPr>
          <w:b/>
        </w:rPr>
      </w:pPr>
      <w:r>
        <w:rPr>
          <w:b/>
        </w:rPr>
        <w:t xml:space="preserve">SCADA </w:t>
      </w:r>
      <w:r w:rsidR="005B46B3">
        <w:rPr>
          <w:b/>
        </w:rPr>
        <w:t>and data collection</w:t>
      </w:r>
    </w:p>
    <w:p w14:paraId="579E09EF" w14:textId="4801089E" w:rsidR="00053B31" w:rsidRPr="00317A2E" w:rsidRDefault="00B204B7" w:rsidP="003E5C30">
      <w:pPr>
        <w:pStyle w:val="BodyText"/>
        <w:rPr>
          <w:sz w:val="20"/>
        </w:rPr>
      </w:pPr>
      <w:r w:rsidRPr="00317A2E">
        <w:rPr>
          <w:sz w:val="20"/>
        </w:rPr>
        <w:t>Secure and reliable operation of the power system is only possible if the necessary energy and system services required by the NEM can be accurately forecast and dispatched</w:t>
      </w:r>
      <w:r w:rsidR="005C74C2" w:rsidRPr="00317A2E">
        <w:rPr>
          <w:sz w:val="20"/>
        </w:rPr>
        <w:t xml:space="preserve"> by </w:t>
      </w:r>
      <w:r w:rsidR="00D256B5" w:rsidRPr="00317A2E">
        <w:rPr>
          <w:sz w:val="20"/>
        </w:rPr>
        <w:t xml:space="preserve">AEMO, the </w:t>
      </w:r>
      <w:r w:rsidR="005C74C2" w:rsidRPr="00317A2E">
        <w:rPr>
          <w:sz w:val="20"/>
        </w:rPr>
        <w:t>system operator</w:t>
      </w:r>
      <w:r w:rsidRPr="00317A2E">
        <w:rPr>
          <w:sz w:val="20"/>
        </w:rPr>
        <w:t xml:space="preserve">. </w:t>
      </w:r>
    </w:p>
    <w:p w14:paraId="57C30D8F" w14:textId="67518424" w:rsidR="00E379F9" w:rsidRPr="00317A2E" w:rsidRDefault="005C74C2" w:rsidP="003E5C30">
      <w:pPr>
        <w:pStyle w:val="BodyText"/>
        <w:rPr>
          <w:sz w:val="20"/>
        </w:rPr>
      </w:pPr>
      <w:r w:rsidRPr="00317A2E">
        <w:rPr>
          <w:sz w:val="20"/>
        </w:rPr>
        <w:t xml:space="preserve">Battery energy systems have the ability to shift the time at which energy </w:t>
      </w:r>
      <w:r w:rsidR="00F10DB3">
        <w:rPr>
          <w:sz w:val="20"/>
        </w:rPr>
        <w:t xml:space="preserve">produced </w:t>
      </w:r>
      <w:r w:rsidRPr="00317A2E">
        <w:rPr>
          <w:sz w:val="20"/>
        </w:rPr>
        <w:t>from renewable sources is consumed. For this reason, AEMO’s systems for</w:t>
      </w:r>
      <w:r w:rsidR="00E379F9" w:rsidRPr="00317A2E">
        <w:rPr>
          <w:sz w:val="20"/>
        </w:rPr>
        <w:t xml:space="preserve"> forecasting</w:t>
      </w:r>
      <w:r w:rsidRPr="00317A2E">
        <w:rPr>
          <w:sz w:val="20"/>
        </w:rPr>
        <w:t xml:space="preserve"> generation of wind energy (</w:t>
      </w:r>
      <w:r w:rsidR="005B46B3" w:rsidRPr="00317A2E">
        <w:rPr>
          <w:sz w:val="20"/>
        </w:rPr>
        <w:t xml:space="preserve">i.e. </w:t>
      </w:r>
      <w:r w:rsidRPr="00317A2E">
        <w:rPr>
          <w:sz w:val="20"/>
        </w:rPr>
        <w:t>AWEFS), solar energy (</w:t>
      </w:r>
      <w:r w:rsidR="005B46B3" w:rsidRPr="00317A2E">
        <w:rPr>
          <w:sz w:val="20"/>
        </w:rPr>
        <w:t>i.e.</w:t>
      </w:r>
      <w:r w:rsidR="00D256B5" w:rsidRPr="00317A2E">
        <w:rPr>
          <w:sz w:val="20"/>
        </w:rPr>
        <w:t xml:space="preserve"> </w:t>
      </w:r>
      <w:r w:rsidRPr="00317A2E">
        <w:rPr>
          <w:sz w:val="20"/>
        </w:rPr>
        <w:t xml:space="preserve">ASEFS) and </w:t>
      </w:r>
      <w:r w:rsidR="00E379F9" w:rsidRPr="00317A2E">
        <w:rPr>
          <w:sz w:val="20"/>
        </w:rPr>
        <w:t>underlying demand</w:t>
      </w:r>
      <w:r w:rsidRPr="00317A2E">
        <w:rPr>
          <w:sz w:val="20"/>
        </w:rPr>
        <w:t xml:space="preserve"> will have to take in a level of real</w:t>
      </w:r>
      <w:r w:rsidR="00D256B5" w:rsidRPr="00317A2E">
        <w:rPr>
          <w:sz w:val="20"/>
        </w:rPr>
        <w:t>-</w:t>
      </w:r>
      <w:r w:rsidRPr="00317A2E">
        <w:rPr>
          <w:sz w:val="20"/>
        </w:rPr>
        <w:t>time information on how battery systems are interacting with other generation assets.</w:t>
      </w:r>
    </w:p>
    <w:p w14:paraId="63556E1B" w14:textId="2C2B31F9" w:rsidR="00B204B7" w:rsidRPr="00317A2E" w:rsidRDefault="00D256B5" w:rsidP="003E5C30">
      <w:pPr>
        <w:pStyle w:val="BodyText"/>
        <w:rPr>
          <w:sz w:val="20"/>
        </w:rPr>
      </w:pPr>
      <w:r w:rsidRPr="00317A2E">
        <w:rPr>
          <w:sz w:val="20"/>
        </w:rPr>
        <w:t>T</w:t>
      </w:r>
      <w:r w:rsidR="005C74C2" w:rsidRPr="00317A2E">
        <w:rPr>
          <w:sz w:val="20"/>
        </w:rPr>
        <w:t xml:space="preserve">he power system </w:t>
      </w:r>
      <w:r w:rsidRPr="00317A2E">
        <w:rPr>
          <w:sz w:val="20"/>
        </w:rPr>
        <w:t xml:space="preserve">must </w:t>
      </w:r>
      <w:r w:rsidR="005C74C2" w:rsidRPr="00317A2E">
        <w:rPr>
          <w:sz w:val="20"/>
        </w:rPr>
        <w:t>be operated within its technical limits at all times</w:t>
      </w:r>
      <w:r w:rsidR="00E379F9" w:rsidRPr="00317A2E">
        <w:rPr>
          <w:sz w:val="20"/>
        </w:rPr>
        <w:t>;</w:t>
      </w:r>
      <w:r w:rsidR="003B3CA0" w:rsidRPr="00317A2E">
        <w:rPr>
          <w:sz w:val="20"/>
        </w:rPr>
        <w:t xml:space="preserve"> </w:t>
      </w:r>
      <w:r w:rsidR="00E379F9" w:rsidRPr="00317A2E">
        <w:rPr>
          <w:sz w:val="20"/>
        </w:rPr>
        <w:t>in order to understand the envelope of the power system technical capability in real</w:t>
      </w:r>
      <w:r w:rsidRPr="00317A2E">
        <w:rPr>
          <w:sz w:val="20"/>
        </w:rPr>
        <w:t>-</w:t>
      </w:r>
      <w:r w:rsidR="00E379F9" w:rsidRPr="00317A2E">
        <w:rPr>
          <w:sz w:val="20"/>
        </w:rPr>
        <w:t xml:space="preserve">time, </w:t>
      </w:r>
      <w:r w:rsidR="003B3CA0" w:rsidRPr="00317A2E">
        <w:rPr>
          <w:sz w:val="20"/>
        </w:rPr>
        <w:t xml:space="preserve">AEMO will need to </w:t>
      </w:r>
      <w:r w:rsidR="00E379F9" w:rsidRPr="00317A2E">
        <w:rPr>
          <w:sz w:val="20"/>
        </w:rPr>
        <w:t xml:space="preserve">have a basic </w:t>
      </w:r>
      <w:r w:rsidR="003B3CA0" w:rsidRPr="00317A2E">
        <w:rPr>
          <w:sz w:val="20"/>
        </w:rPr>
        <w:t>understand</w:t>
      </w:r>
      <w:r w:rsidR="00E379F9" w:rsidRPr="00317A2E">
        <w:rPr>
          <w:sz w:val="20"/>
        </w:rPr>
        <w:t>ing of the ability of battery energy systems above the registration threshold to provide system services.</w:t>
      </w:r>
      <w:r w:rsidR="003B3CA0" w:rsidRPr="00317A2E">
        <w:rPr>
          <w:sz w:val="20"/>
        </w:rPr>
        <w:t xml:space="preserve"> </w:t>
      </w:r>
    </w:p>
    <w:p w14:paraId="6E989DE8" w14:textId="48D44B7C" w:rsidR="00B24475" w:rsidRPr="008601C9" w:rsidRDefault="00B24475" w:rsidP="003E5C30">
      <w:pPr>
        <w:pStyle w:val="BodyText"/>
        <w:rPr>
          <w:sz w:val="20"/>
        </w:rPr>
      </w:pPr>
      <w:r w:rsidRPr="008601C9">
        <w:rPr>
          <w:sz w:val="20"/>
        </w:rPr>
        <w:t xml:space="preserve">Battery systems that have a nameplate </w:t>
      </w:r>
      <w:r w:rsidR="00135DA1" w:rsidRPr="008601C9">
        <w:rPr>
          <w:sz w:val="20"/>
        </w:rPr>
        <w:t xml:space="preserve">rating </w:t>
      </w:r>
      <w:r w:rsidRPr="008601C9">
        <w:rPr>
          <w:sz w:val="20"/>
        </w:rPr>
        <w:t>greater than or equal to 5 MW will have to provide to AEMO via SCADA:</w:t>
      </w:r>
    </w:p>
    <w:p w14:paraId="3995FCFC" w14:textId="6CC18512" w:rsidR="00B24475" w:rsidRPr="008601C9" w:rsidRDefault="00161001" w:rsidP="0075582B">
      <w:pPr>
        <w:pStyle w:val="BodyText"/>
        <w:numPr>
          <w:ilvl w:val="0"/>
          <w:numId w:val="21"/>
        </w:numPr>
        <w:rPr>
          <w:sz w:val="20"/>
        </w:rPr>
      </w:pPr>
      <w:r w:rsidRPr="008601C9">
        <w:rPr>
          <w:sz w:val="20"/>
        </w:rPr>
        <w:t xml:space="preserve">Current </w:t>
      </w:r>
      <w:r w:rsidR="0075582B" w:rsidRPr="008601C9">
        <w:rPr>
          <w:sz w:val="20"/>
        </w:rPr>
        <w:t xml:space="preserve">state of charge </w:t>
      </w:r>
      <w:r w:rsidR="009964D4" w:rsidRPr="008601C9">
        <w:rPr>
          <w:sz w:val="20"/>
        </w:rPr>
        <w:t>in MWh</w:t>
      </w:r>
    </w:p>
    <w:p w14:paraId="6BA8091A" w14:textId="571AE64B" w:rsidR="003E2DA1" w:rsidRPr="008601C9" w:rsidRDefault="0075582B" w:rsidP="0075582B">
      <w:pPr>
        <w:pStyle w:val="BodyText"/>
        <w:numPr>
          <w:ilvl w:val="0"/>
          <w:numId w:val="21"/>
        </w:numPr>
        <w:rPr>
          <w:sz w:val="20"/>
        </w:rPr>
      </w:pPr>
      <w:r w:rsidRPr="008601C9">
        <w:rPr>
          <w:sz w:val="20"/>
        </w:rPr>
        <w:lastRenderedPageBreak/>
        <w:t>Current charge rate in MW</w:t>
      </w:r>
    </w:p>
    <w:p w14:paraId="6BE27368" w14:textId="6972454E" w:rsidR="009964D4" w:rsidRPr="000A34C6" w:rsidRDefault="009964D4" w:rsidP="009964D4">
      <w:pPr>
        <w:pStyle w:val="BodyText"/>
        <w:numPr>
          <w:ilvl w:val="0"/>
          <w:numId w:val="21"/>
        </w:numPr>
        <w:rPr>
          <w:sz w:val="20"/>
        </w:rPr>
      </w:pPr>
      <w:r w:rsidRPr="000A34C6">
        <w:rPr>
          <w:sz w:val="20"/>
        </w:rPr>
        <w:t>Current discharge rate in MW</w:t>
      </w:r>
    </w:p>
    <w:p w14:paraId="3F03FCE7" w14:textId="039085F5" w:rsidR="0075582B" w:rsidRDefault="0075582B" w:rsidP="0075582B">
      <w:pPr>
        <w:pStyle w:val="BodyText"/>
        <w:numPr>
          <w:ilvl w:val="0"/>
          <w:numId w:val="21"/>
        </w:numPr>
        <w:rPr>
          <w:sz w:val="20"/>
        </w:rPr>
      </w:pPr>
      <w:r w:rsidRPr="000A34C6">
        <w:rPr>
          <w:sz w:val="20"/>
        </w:rPr>
        <w:t>Any other data</w:t>
      </w:r>
      <w:r w:rsidR="006671B3" w:rsidRPr="000A34C6">
        <w:rPr>
          <w:sz w:val="20"/>
        </w:rPr>
        <w:t xml:space="preserve"> required under their generator performance standard</w:t>
      </w:r>
    </w:p>
    <w:p w14:paraId="03C6C470" w14:textId="0C4A5405" w:rsidR="000A34C6" w:rsidRPr="000A34C6" w:rsidRDefault="000A34C6" w:rsidP="0075582B">
      <w:pPr>
        <w:pStyle w:val="BodyText"/>
        <w:numPr>
          <w:ilvl w:val="0"/>
          <w:numId w:val="21"/>
        </w:numPr>
        <w:rPr>
          <w:sz w:val="20"/>
        </w:rPr>
      </w:pPr>
      <w:r w:rsidRPr="000A34C6">
        <w:rPr>
          <w:sz w:val="20"/>
        </w:rPr>
        <w:t>Any other data required by the Market Ancillary Services Specification (MAS</w:t>
      </w:r>
      <w:r w:rsidR="009714C5">
        <w:rPr>
          <w:sz w:val="20"/>
        </w:rPr>
        <w:t>S) if operating in FCAS markets.</w:t>
      </w:r>
    </w:p>
    <w:p w14:paraId="11EF13F3" w14:textId="4FF91F28" w:rsidR="00EF6C2C" w:rsidRPr="000A34C6" w:rsidRDefault="008D6E17" w:rsidP="003E5C30">
      <w:pPr>
        <w:pStyle w:val="BodyText"/>
        <w:rPr>
          <w:sz w:val="20"/>
        </w:rPr>
      </w:pPr>
      <w:r w:rsidRPr="000A34C6">
        <w:rPr>
          <w:sz w:val="20"/>
        </w:rPr>
        <w:t xml:space="preserve">Parties that are considering provision of FCAS </w:t>
      </w:r>
      <w:r w:rsidR="005B46B3" w:rsidRPr="000A34C6">
        <w:rPr>
          <w:sz w:val="20"/>
        </w:rPr>
        <w:t xml:space="preserve">must register accordingly and </w:t>
      </w:r>
      <w:r w:rsidRPr="000A34C6">
        <w:rPr>
          <w:sz w:val="20"/>
        </w:rPr>
        <w:t xml:space="preserve">should ensure that suitable </w:t>
      </w:r>
      <w:r w:rsidR="005B46B3" w:rsidRPr="000A34C6">
        <w:rPr>
          <w:sz w:val="20"/>
        </w:rPr>
        <w:t xml:space="preserve">equipment is installed </w:t>
      </w:r>
      <w:r w:rsidR="00E319CB" w:rsidRPr="000A34C6">
        <w:rPr>
          <w:sz w:val="20"/>
        </w:rPr>
        <w:t xml:space="preserve">to </w:t>
      </w:r>
      <w:r w:rsidR="005B46B3" w:rsidRPr="000A34C6">
        <w:rPr>
          <w:sz w:val="20"/>
        </w:rPr>
        <w:t>monitor and record the response from generating units in accordance with the requirements of the MASS</w:t>
      </w:r>
      <w:r w:rsidR="00E319CB" w:rsidRPr="000A34C6">
        <w:rPr>
          <w:sz w:val="20"/>
        </w:rPr>
        <w:t>.</w:t>
      </w:r>
      <w:r w:rsidR="004664D4" w:rsidRPr="000A34C6">
        <w:rPr>
          <w:sz w:val="20"/>
        </w:rPr>
        <w:t xml:space="preserve"> </w:t>
      </w:r>
    </w:p>
    <w:p w14:paraId="43E25BDB" w14:textId="338C276E" w:rsidR="00D054AB" w:rsidRDefault="00D03093" w:rsidP="00D054AB">
      <w:pPr>
        <w:pStyle w:val="BodyText"/>
        <w:rPr>
          <w:b/>
        </w:rPr>
      </w:pPr>
      <w:r>
        <w:rPr>
          <w:b/>
        </w:rPr>
        <w:t>Engagement with NSPs</w:t>
      </w:r>
    </w:p>
    <w:p w14:paraId="48A82295" w14:textId="51932BF8" w:rsidR="00D054AB" w:rsidRPr="00317A2E" w:rsidRDefault="00D054AB" w:rsidP="00D054AB">
      <w:pPr>
        <w:pStyle w:val="BodyText"/>
        <w:rPr>
          <w:sz w:val="20"/>
        </w:rPr>
      </w:pPr>
      <w:r w:rsidRPr="00317A2E">
        <w:rPr>
          <w:sz w:val="20"/>
        </w:rPr>
        <w:t xml:space="preserve">Parties interested in connecting a battery energy system should approach their relevant NSP </w:t>
      </w:r>
      <w:r w:rsidR="00D25F6C" w:rsidRPr="00317A2E">
        <w:rPr>
          <w:sz w:val="20"/>
        </w:rPr>
        <w:t xml:space="preserve">in the first instance </w:t>
      </w:r>
      <w:r w:rsidR="00D256B5" w:rsidRPr="00317A2E">
        <w:rPr>
          <w:sz w:val="20"/>
        </w:rPr>
        <w:t xml:space="preserve">to </w:t>
      </w:r>
      <w:r w:rsidR="00D25F6C" w:rsidRPr="00317A2E">
        <w:rPr>
          <w:sz w:val="20"/>
        </w:rPr>
        <w:t xml:space="preserve">discuss the feasibility of their proposal and the process </w:t>
      </w:r>
      <w:r w:rsidR="00F10DB3">
        <w:rPr>
          <w:sz w:val="20"/>
        </w:rPr>
        <w:t>for investigating</w:t>
      </w:r>
      <w:r w:rsidR="00D25F6C" w:rsidRPr="00317A2E">
        <w:rPr>
          <w:sz w:val="20"/>
        </w:rPr>
        <w:t xml:space="preserve"> possible connection options. AEMO will provide support to each NSP as required </w:t>
      </w:r>
      <w:r w:rsidR="00F10DB3">
        <w:rPr>
          <w:sz w:val="20"/>
        </w:rPr>
        <w:t>by</w:t>
      </w:r>
      <w:r w:rsidR="00D25F6C" w:rsidRPr="00317A2E">
        <w:rPr>
          <w:sz w:val="20"/>
        </w:rPr>
        <w:t xml:space="preserve"> </w:t>
      </w:r>
      <w:r w:rsidR="009B3D0F" w:rsidRPr="00317A2E">
        <w:rPr>
          <w:sz w:val="20"/>
        </w:rPr>
        <w:t>existing</w:t>
      </w:r>
      <w:r w:rsidR="00D25F6C" w:rsidRPr="00317A2E">
        <w:rPr>
          <w:sz w:val="20"/>
        </w:rPr>
        <w:t xml:space="preserve"> processes used to establish a new connecti</w:t>
      </w:r>
      <w:r w:rsidR="00FD57C7">
        <w:rPr>
          <w:sz w:val="20"/>
        </w:rPr>
        <w:t xml:space="preserve">on for a generating system or </w:t>
      </w:r>
      <w:r w:rsidR="00D25F6C" w:rsidRPr="00317A2E">
        <w:rPr>
          <w:sz w:val="20"/>
        </w:rPr>
        <w:t>modify an exis</w:t>
      </w:r>
      <w:r w:rsidR="00FD57C7">
        <w:rPr>
          <w:sz w:val="20"/>
        </w:rPr>
        <w:t>ting network connected generating system</w:t>
      </w:r>
      <w:r w:rsidR="00D25F6C" w:rsidRPr="00317A2E">
        <w:rPr>
          <w:sz w:val="20"/>
        </w:rPr>
        <w:t>.</w:t>
      </w:r>
      <w:r w:rsidR="00D25F6C" w:rsidRPr="00317A2E">
        <w:rPr>
          <w:rStyle w:val="FootnoteReference"/>
          <w:sz w:val="20"/>
        </w:rPr>
        <w:footnoteReference w:id="8"/>
      </w:r>
    </w:p>
    <w:p w14:paraId="32834DEB" w14:textId="2362F01F" w:rsidR="00072552" w:rsidRPr="00317A2E" w:rsidRDefault="009B3D0F" w:rsidP="00D054AB">
      <w:pPr>
        <w:pStyle w:val="BodyText"/>
        <w:rPr>
          <w:sz w:val="20"/>
        </w:rPr>
      </w:pPr>
      <w:r w:rsidRPr="00317A2E">
        <w:rPr>
          <w:sz w:val="20"/>
        </w:rPr>
        <w:t xml:space="preserve">As a part of </w:t>
      </w:r>
      <w:r w:rsidR="00F10DB3">
        <w:rPr>
          <w:sz w:val="20"/>
        </w:rPr>
        <w:t xml:space="preserve">the established </w:t>
      </w:r>
      <w:r w:rsidR="00072552" w:rsidRPr="00317A2E">
        <w:rPr>
          <w:sz w:val="20"/>
        </w:rPr>
        <w:t>process</w:t>
      </w:r>
      <w:r w:rsidR="00F10DB3">
        <w:rPr>
          <w:sz w:val="20"/>
        </w:rPr>
        <w:t xml:space="preserve"> for new connections</w:t>
      </w:r>
      <w:r w:rsidR="00B91F9C">
        <w:rPr>
          <w:sz w:val="20"/>
        </w:rPr>
        <w:t>,</w:t>
      </w:r>
      <w:r w:rsidR="00072552" w:rsidRPr="00317A2E">
        <w:rPr>
          <w:sz w:val="20"/>
        </w:rPr>
        <w:t xml:space="preserve"> following lodgement of a connection enquiry with </w:t>
      </w:r>
      <w:r w:rsidR="00B91F9C">
        <w:rPr>
          <w:sz w:val="20"/>
        </w:rPr>
        <w:t xml:space="preserve">the </w:t>
      </w:r>
      <w:r w:rsidR="00072552" w:rsidRPr="00317A2E">
        <w:rPr>
          <w:sz w:val="20"/>
        </w:rPr>
        <w:t xml:space="preserve">relevant NSP, </w:t>
      </w:r>
      <w:r w:rsidR="00F10DB3">
        <w:rPr>
          <w:sz w:val="20"/>
        </w:rPr>
        <w:t>applicants</w:t>
      </w:r>
      <w:r w:rsidR="00072552" w:rsidRPr="00317A2E">
        <w:rPr>
          <w:sz w:val="20"/>
        </w:rPr>
        <w:t xml:space="preserve"> will:</w:t>
      </w:r>
    </w:p>
    <w:p w14:paraId="2E87FC8C" w14:textId="3103D6A6" w:rsidR="00072552" w:rsidRPr="00317A2E" w:rsidRDefault="00072552" w:rsidP="00072552">
      <w:pPr>
        <w:pStyle w:val="BodyText"/>
        <w:numPr>
          <w:ilvl w:val="0"/>
          <w:numId w:val="20"/>
        </w:numPr>
        <w:rPr>
          <w:sz w:val="20"/>
        </w:rPr>
      </w:pPr>
      <w:r w:rsidRPr="00317A2E">
        <w:rPr>
          <w:sz w:val="20"/>
        </w:rPr>
        <w:t>assess feasible locations for connection of the proposed generating system</w:t>
      </w:r>
      <w:r w:rsidR="00B02720" w:rsidRPr="00317A2E">
        <w:rPr>
          <w:sz w:val="20"/>
        </w:rPr>
        <w:t>;</w:t>
      </w:r>
    </w:p>
    <w:p w14:paraId="7B4E7B36" w14:textId="29C6FFC3" w:rsidR="00B02720" w:rsidRPr="00317A2E" w:rsidRDefault="00072552" w:rsidP="00072552">
      <w:pPr>
        <w:pStyle w:val="BodyText"/>
        <w:numPr>
          <w:ilvl w:val="0"/>
          <w:numId w:val="20"/>
        </w:numPr>
        <w:rPr>
          <w:sz w:val="20"/>
        </w:rPr>
      </w:pPr>
      <w:r w:rsidRPr="00317A2E">
        <w:rPr>
          <w:sz w:val="20"/>
        </w:rPr>
        <w:t>negotiate a suitable design for ancillary infrastructure required at the connection location in accordance with obligations of the connection applicant and the NSP under the NER</w:t>
      </w:r>
      <w:r w:rsidR="00B02720" w:rsidRPr="00317A2E">
        <w:rPr>
          <w:sz w:val="20"/>
        </w:rPr>
        <w:t>;</w:t>
      </w:r>
    </w:p>
    <w:p w14:paraId="243D21E2" w14:textId="190EEE6A" w:rsidR="009B3D0F" w:rsidRPr="00317A2E" w:rsidRDefault="00B02720" w:rsidP="00072552">
      <w:pPr>
        <w:pStyle w:val="BodyText"/>
        <w:numPr>
          <w:ilvl w:val="0"/>
          <w:numId w:val="20"/>
        </w:numPr>
        <w:rPr>
          <w:sz w:val="20"/>
        </w:rPr>
      </w:pPr>
      <w:r w:rsidRPr="00317A2E">
        <w:rPr>
          <w:sz w:val="20"/>
        </w:rPr>
        <w:t xml:space="preserve">propose a set of GPS to the relevant NSP that </w:t>
      </w:r>
      <w:r w:rsidR="00AD42E9" w:rsidRPr="00317A2E">
        <w:rPr>
          <w:sz w:val="20"/>
        </w:rPr>
        <w:t>detail</w:t>
      </w:r>
      <w:r w:rsidRPr="00317A2E">
        <w:rPr>
          <w:sz w:val="20"/>
        </w:rPr>
        <w:t xml:space="preserve"> the level of technical performance required for on-going operation of the </w:t>
      </w:r>
      <w:r w:rsidR="00D256B5" w:rsidRPr="00317A2E">
        <w:rPr>
          <w:sz w:val="20"/>
        </w:rPr>
        <w:t xml:space="preserve">battery </w:t>
      </w:r>
      <w:r w:rsidR="00AD42E9" w:rsidRPr="00317A2E">
        <w:rPr>
          <w:sz w:val="20"/>
        </w:rPr>
        <w:t xml:space="preserve">system (as both a scheduled </w:t>
      </w:r>
      <w:r w:rsidR="00D256B5" w:rsidRPr="00317A2E">
        <w:rPr>
          <w:sz w:val="20"/>
        </w:rPr>
        <w:t xml:space="preserve">generating system </w:t>
      </w:r>
      <w:r w:rsidR="00AD42E9" w:rsidRPr="00317A2E">
        <w:rPr>
          <w:sz w:val="20"/>
        </w:rPr>
        <w:t>and scheduled load in this case).</w:t>
      </w:r>
    </w:p>
    <w:p w14:paraId="066E6DFC" w14:textId="02CB1B18" w:rsidR="00F257EF" w:rsidRPr="00317A2E" w:rsidRDefault="00630472" w:rsidP="00AD42E9">
      <w:pPr>
        <w:pStyle w:val="BodyText"/>
        <w:rPr>
          <w:sz w:val="20"/>
        </w:rPr>
      </w:pPr>
      <w:r>
        <w:rPr>
          <w:sz w:val="20"/>
        </w:rPr>
        <w:t>T</w:t>
      </w:r>
      <w:r w:rsidR="00D256B5" w:rsidRPr="00317A2E">
        <w:rPr>
          <w:sz w:val="20"/>
        </w:rPr>
        <w:t xml:space="preserve">he performance standards that will apply to the battery system </w:t>
      </w:r>
      <w:r>
        <w:rPr>
          <w:sz w:val="20"/>
        </w:rPr>
        <w:t xml:space="preserve">will be </w:t>
      </w:r>
      <w:r w:rsidR="00F257EF" w:rsidRPr="00317A2E">
        <w:rPr>
          <w:sz w:val="20"/>
        </w:rPr>
        <w:t xml:space="preserve">based on </w:t>
      </w:r>
      <w:r w:rsidR="00D256B5" w:rsidRPr="00317A2E">
        <w:rPr>
          <w:sz w:val="20"/>
        </w:rPr>
        <w:t>the relevant access standards</w:t>
      </w:r>
      <w:r w:rsidR="00F257EF" w:rsidRPr="00317A2E">
        <w:rPr>
          <w:sz w:val="20"/>
        </w:rPr>
        <w:t xml:space="preserve"> and the results of simulation studies where batteries are both charging and discharging.   </w:t>
      </w:r>
    </w:p>
    <w:p w14:paraId="47A64B21" w14:textId="71EC94EC" w:rsidR="00AD42E9" w:rsidRPr="00317A2E" w:rsidRDefault="00AD42E9" w:rsidP="00AD42E9">
      <w:pPr>
        <w:pStyle w:val="BodyText"/>
        <w:rPr>
          <w:sz w:val="20"/>
        </w:rPr>
      </w:pPr>
      <w:r w:rsidRPr="00317A2E">
        <w:rPr>
          <w:sz w:val="20"/>
        </w:rPr>
        <w:t xml:space="preserve">AEMO’s role in this connection process is providing data as required to connection applicants and undertaking modelling and due diligence to support assessment of the GPS proposed by the connection applicant. </w:t>
      </w:r>
    </w:p>
    <w:p w14:paraId="5DEAB7A0" w14:textId="31B2B3EC" w:rsidR="00D054AB" w:rsidRPr="00D054AB" w:rsidRDefault="00D054AB" w:rsidP="00D054AB">
      <w:pPr>
        <w:pStyle w:val="BodyText"/>
        <w:rPr>
          <w:b/>
        </w:rPr>
      </w:pPr>
      <w:r w:rsidRPr="00D054AB">
        <w:rPr>
          <w:b/>
        </w:rPr>
        <w:t>TUOS and DUOS</w:t>
      </w:r>
    </w:p>
    <w:p w14:paraId="60B9DF36" w14:textId="35207B46" w:rsidR="00D054AB" w:rsidRPr="00317A2E" w:rsidRDefault="00D054AB" w:rsidP="0024769A">
      <w:pPr>
        <w:spacing w:after="120"/>
      </w:pPr>
      <w:r w:rsidRPr="00317A2E">
        <w:t xml:space="preserve">Under the NER, it is the responsibility of NSPs to negotiate in good faith with connection applicants on network ‘Use of system’ </w:t>
      </w:r>
      <w:r w:rsidR="00AD42E9" w:rsidRPr="00317A2E">
        <w:t xml:space="preserve">charges (i.e. </w:t>
      </w:r>
      <w:r w:rsidR="00722C0F" w:rsidRPr="00317A2E">
        <w:t>TU</w:t>
      </w:r>
      <w:r w:rsidR="00722C0F">
        <w:t>O</w:t>
      </w:r>
      <w:r w:rsidR="00722C0F" w:rsidRPr="00317A2E">
        <w:t xml:space="preserve">S </w:t>
      </w:r>
      <w:r w:rsidR="00AD42E9" w:rsidRPr="00317A2E">
        <w:t xml:space="preserve">for </w:t>
      </w:r>
      <w:r w:rsidR="00D256B5" w:rsidRPr="00317A2E">
        <w:t>T</w:t>
      </w:r>
      <w:r w:rsidR="00722C0F">
        <w:t xml:space="preserve">ransmission </w:t>
      </w:r>
      <w:r w:rsidR="00AD42E9" w:rsidRPr="00317A2E">
        <w:t xml:space="preserve">NSPs </w:t>
      </w:r>
      <w:r w:rsidR="00722C0F">
        <w:t xml:space="preserve">(TNSPs) </w:t>
      </w:r>
      <w:r w:rsidR="00AD42E9" w:rsidRPr="00317A2E">
        <w:t xml:space="preserve">and </w:t>
      </w:r>
      <w:r w:rsidR="00722C0F" w:rsidRPr="00317A2E">
        <w:t>DU</w:t>
      </w:r>
      <w:r w:rsidR="00722C0F">
        <w:t>O</w:t>
      </w:r>
      <w:r w:rsidR="00722C0F" w:rsidRPr="00317A2E">
        <w:t xml:space="preserve">S </w:t>
      </w:r>
      <w:r w:rsidR="00AD42E9" w:rsidRPr="00317A2E">
        <w:t>for Distribution NSPs</w:t>
      </w:r>
      <w:r w:rsidR="00D256B5" w:rsidRPr="00317A2E">
        <w:t xml:space="preserve"> (DNSPs)</w:t>
      </w:r>
      <w:r w:rsidR="00AD42E9" w:rsidRPr="00317A2E">
        <w:t>)</w:t>
      </w:r>
      <w:r w:rsidRPr="00317A2E">
        <w:t xml:space="preserve"> and other connection service charges. </w:t>
      </w:r>
    </w:p>
    <w:p w14:paraId="7EAAE700" w14:textId="5CC63E9A" w:rsidR="00D054AB" w:rsidRDefault="00D054AB" w:rsidP="00D054AB">
      <w:r w:rsidRPr="00317A2E">
        <w:t xml:space="preserve">Intending participants should discuss the process for </w:t>
      </w:r>
      <w:r w:rsidR="00D256B5" w:rsidRPr="00317A2E">
        <w:t xml:space="preserve">the </w:t>
      </w:r>
      <w:r w:rsidRPr="00317A2E">
        <w:t>negotiation of ‘use of system charges’ with the relevant TNSP/DNSP consistent with principles set out in the NER</w:t>
      </w:r>
      <w:r w:rsidR="00D256B5" w:rsidRPr="00317A2E">
        <w:t>.</w:t>
      </w:r>
      <w:r w:rsidR="009714C5">
        <w:t xml:space="preserve"> </w:t>
      </w:r>
      <w:r w:rsidRPr="00317A2E">
        <w:t xml:space="preserve">Each NSP determines </w:t>
      </w:r>
      <w:r w:rsidR="00AD42E9" w:rsidRPr="00317A2E">
        <w:t>‘</w:t>
      </w:r>
      <w:r w:rsidRPr="00317A2E">
        <w:t>use of system</w:t>
      </w:r>
      <w:r w:rsidR="00AD42E9" w:rsidRPr="00317A2E">
        <w:t>’</w:t>
      </w:r>
      <w:r w:rsidRPr="00317A2E">
        <w:t xml:space="preserve"> charges according to </w:t>
      </w:r>
      <w:r w:rsidR="00D256B5" w:rsidRPr="00317A2E">
        <w:t>its</w:t>
      </w:r>
      <w:r w:rsidRPr="00317A2E">
        <w:t xml:space="preserve"> own pricing methodology. </w:t>
      </w:r>
    </w:p>
    <w:p w14:paraId="01737717" w14:textId="77777777" w:rsidR="00C36C0C" w:rsidRDefault="00C36C0C" w:rsidP="00D054AB"/>
    <w:p w14:paraId="0198D31C" w14:textId="7BDA6BE5" w:rsidR="009714C5" w:rsidRDefault="00C36C0C" w:rsidP="00D054AB">
      <w:r w:rsidRPr="00C36C0C">
        <w:t xml:space="preserve">In Victoria, AEMO is responsible for </w:t>
      </w:r>
      <w:r w:rsidR="00915A86">
        <w:t>setting</w:t>
      </w:r>
      <w:r w:rsidRPr="00C36C0C">
        <w:t xml:space="preserve"> TUOS</w:t>
      </w:r>
      <w:r w:rsidR="00915A86">
        <w:t xml:space="preserve"> charges</w:t>
      </w:r>
      <w:r w:rsidRPr="00C36C0C">
        <w:t xml:space="preserve"> as part of its Victorian TNSP role.</w:t>
      </w:r>
      <w:r w:rsidR="006763E9">
        <w:t xml:space="preserve"> </w:t>
      </w:r>
      <w:r w:rsidR="00FF2A6C">
        <w:t>I</w:t>
      </w:r>
      <w:r w:rsidRPr="00C36C0C">
        <w:t xml:space="preserve">n the absence of a clear regulatory framework, </w:t>
      </w:r>
      <w:r w:rsidR="00630472">
        <w:t xml:space="preserve">AEMO is liaising </w:t>
      </w:r>
      <w:r w:rsidRPr="00C36C0C">
        <w:t>with the AER in order to establish an appropriate way forward. There would be merit in amending the Rules to clarify this issue.</w:t>
      </w:r>
    </w:p>
    <w:p w14:paraId="5960E94F" w14:textId="551ECCE1" w:rsidR="006E75C7" w:rsidRDefault="007C0F8A" w:rsidP="003E5C30">
      <w:pPr>
        <w:pStyle w:val="BodyText"/>
        <w:rPr>
          <w:b/>
        </w:rPr>
      </w:pPr>
      <w:r>
        <w:rPr>
          <w:b/>
        </w:rPr>
        <w:t>P</w:t>
      </w:r>
      <w:r w:rsidR="00DC4725">
        <w:rPr>
          <w:b/>
        </w:rPr>
        <w:t>articipation in ancillary services m</w:t>
      </w:r>
      <w:r>
        <w:rPr>
          <w:b/>
        </w:rPr>
        <w:t>arkets</w:t>
      </w:r>
    </w:p>
    <w:p w14:paraId="79C069BB" w14:textId="77777777" w:rsidR="001B1CDA" w:rsidRDefault="00C5316A" w:rsidP="003E5C30">
      <w:pPr>
        <w:pStyle w:val="BodyText"/>
        <w:rPr>
          <w:sz w:val="20"/>
        </w:rPr>
      </w:pPr>
      <w:r>
        <w:rPr>
          <w:sz w:val="20"/>
        </w:rPr>
        <w:t xml:space="preserve">Parties looking to participate in FCAS markets must comply with the </w:t>
      </w:r>
      <w:r w:rsidR="009E71BA">
        <w:rPr>
          <w:sz w:val="20"/>
        </w:rPr>
        <w:t>requirements</w:t>
      </w:r>
      <w:r>
        <w:rPr>
          <w:sz w:val="20"/>
        </w:rPr>
        <w:t xml:space="preserve"> of the MASS</w:t>
      </w:r>
      <w:r w:rsidR="009E71BA">
        <w:rPr>
          <w:rStyle w:val="FootnoteReference"/>
          <w:sz w:val="20"/>
        </w:rPr>
        <w:footnoteReference w:id="9"/>
      </w:r>
      <w:r w:rsidR="009E71BA">
        <w:rPr>
          <w:sz w:val="20"/>
        </w:rPr>
        <w:t xml:space="preserve"> and register as </w:t>
      </w:r>
      <w:r w:rsidR="0046619F">
        <w:rPr>
          <w:sz w:val="20"/>
        </w:rPr>
        <w:t>generators appropriately as ancillary service generating units</w:t>
      </w:r>
      <w:r w:rsidR="009E71BA">
        <w:rPr>
          <w:sz w:val="20"/>
        </w:rPr>
        <w:t xml:space="preserve">. </w:t>
      </w:r>
    </w:p>
    <w:p w14:paraId="2966A532" w14:textId="759A12C7" w:rsidR="007922CC" w:rsidRDefault="0046619F" w:rsidP="003E5C30">
      <w:pPr>
        <w:pStyle w:val="BodyText"/>
        <w:rPr>
          <w:sz w:val="20"/>
        </w:rPr>
      </w:pPr>
      <w:r>
        <w:rPr>
          <w:sz w:val="20"/>
        </w:rPr>
        <w:t>Although t</w:t>
      </w:r>
      <w:r w:rsidR="009E71BA">
        <w:rPr>
          <w:sz w:val="20"/>
        </w:rPr>
        <w:t xml:space="preserve">he </w:t>
      </w:r>
      <w:r>
        <w:rPr>
          <w:sz w:val="20"/>
        </w:rPr>
        <w:t xml:space="preserve">current version of the </w:t>
      </w:r>
      <w:r w:rsidR="009E71BA">
        <w:rPr>
          <w:sz w:val="20"/>
        </w:rPr>
        <w:t>MASS has not been written to explicitly consider arrangements for Fast Frequency Response (FFR)</w:t>
      </w:r>
      <w:r w:rsidR="00213C2D">
        <w:rPr>
          <w:sz w:val="20"/>
        </w:rPr>
        <w:t xml:space="preserve"> </w:t>
      </w:r>
      <w:r w:rsidR="009E71BA">
        <w:rPr>
          <w:sz w:val="20"/>
        </w:rPr>
        <w:t>services</w:t>
      </w:r>
      <w:r>
        <w:rPr>
          <w:sz w:val="20"/>
        </w:rPr>
        <w:t xml:space="preserve">, </w:t>
      </w:r>
      <w:r w:rsidR="005B46B3" w:rsidRPr="00317A2E">
        <w:rPr>
          <w:sz w:val="20"/>
        </w:rPr>
        <w:t xml:space="preserve">section 7.3 </w:t>
      </w:r>
      <w:r w:rsidR="008C3BBA">
        <w:rPr>
          <w:sz w:val="20"/>
        </w:rPr>
        <w:t xml:space="preserve">of this document </w:t>
      </w:r>
      <w:r w:rsidR="00561FB9">
        <w:rPr>
          <w:sz w:val="20"/>
        </w:rPr>
        <w:t xml:space="preserve">provides a basis for </w:t>
      </w:r>
      <w:r w:rsidR="005B46B3" w:rsidRPr="00317A2E">
        <w:rPr>
          <w:sz w:val="20"/>
        </w:rPr>
        <w:t xml:space="preserve">AEMO to </w:t>
      </w:r>
      <w:r>
        <w:rPr>
          <w:sz w:val="20"/>
        </w:rPr>
        <w:t>undertake trials to test the performance of new technologies</w:t>
      </w:r>
      <w:r w:rsidR="00561FB9">
        <w:rPr>
          <w:sz w:val="20"/>
        </w:rPr>
        <w:t xml:space="preserve"> with </w:t>
      </w:r>
      <w:r w:rsidR="008C3BBA">
        <w:rPr>
          <w:sz w:val="20"/>
        </w:rPr>
        <w:t xml:space="preserve">registered </w:t>
      </w:r>
      <w:r w:rsidR="00561FB9">
        <w:rPr>
          <w:sz w:val="20"/>
        </w:rPr>
        <w:t xml:space="preserve">ancillary service </w:t>
      </w:r>
      <w:r w:rsidR="00561FB9">
        <w:rPr>
          <w:sz w:val="20"/>
        </w:rPr>
        <w:lastRenderedPageBreak/>
        <w:t>generating units</w:t>
      </w:r>
      <w:r>
        <w:rPr>
          <w:sz w:val="20"/>
        </w:rPr>
        <w:t xml:space="preserve">. </w:t>
      </w:r>
      <w:r w:rsidR="00D0597B">
        <w:rPr>
          <w:sz w:val="20"/>
        </w:rPr>
        <w:t xml:space="preserve">There may also be scope to demonstrate the ability of different </w:t>
      </w:r>
      <w:r>
        <w:rPr>
          <w:sz w:val="20"/>
        </w:rPr>
        <w:t>technologies to pro</w:t>
      </w:r>
      <w:r w:rsidR="009649CB">
        <w:rPr>
          <w:sz w:val="20"/>
        </w:rPr>
        <w:t xml:space="preserve">vide FFR services as a part of </w:t>
      </w:r>
      <w:r w:rsidR="00561FB9">
        <w:rPr>
          <w:sz w:val="20"/>
        </w:rPr>
        <w:t>the AEMC’s rule change process on Inertia Ancillary Services Markets,</w:t>
      </w:r>
      <w:r w:rsidR="009649CB">
        <w:rPr>
          <w:sz w:val="20"/>
        </w:rPr>
        <w:t xml:space="preserve"> which is currently under development. </w:t>
      </w:r>
      <w:r w:rsidR="00D0597B">
        <w:rPr>
          <w:rStyle w:val="FootnoteReference"/>
          <w:sz w:val="20"/>
        </w:rPr>
        <w:footnoteReference w:id="10"/>
      </w:r>
      <w:r w:rsidR="00532FC5">
        <w:rPr>
          <w:sz w:val="20"/>
        </w:rPr>
        <w:t>The AEMC</w:t>
      </w:r>
      <w:r w:rsidR="00D0597B">
        <w:rPr>
          <w:sz w:val="20"/>
        </w:rPr>
        <w:t xml:space="preserve"> has recently set out its </w:t>
      </w:r>
      <w:r w:rsidR="003B6D7B">
        <w:rPr>
          <w:sz w:val="20"/>
        </w:rPr>
        <w:t xml:space="preserve">intention to </w:t>
      </w:r>
      <w:r w:rsidR="00422C5C">
        <w:rPr>
          <w:sz w:val="20"/>
        </w:rPr>
        <w:t xml:space="preserve">establish a Frequency Control Frameworks Review </w:t>
      </w:r>
      <w:r w:rsidR="00D0597B">
        <w:rPr>
          <w:sz w:val="20"/>
        </w:rPr>
        <w:t xml:space="preserve">to </w:t>
      </w:r>
      <w:r w:rsidR="003B6D7B">
        <w:rPr>
          <w:sz w:val="20"/>
        </w:rPr>
        <w:t>explore</w:t>
      </w:r>
      <w:r w:rsidR="00532FC5">
        <w:rPr>
          <w:sz w:val="20"/>
        </w:rPr>
        <w:t xml:space="preserve"> </w:t>
      </w:r>
      <w:r w:rsidR="00422C5C">
        <w:rPr>
          <w:sz w:val="20"/>
        </w:rPr>
        <w:t>how a framework for FFR services might operate</w:t>
      </w:r>
      <w:r w:rsidR="00532FC5">
        <w:rPr>
          <w:sz w:val="20"/>
        </w:rPr>
        <w:t>.</w:t>
      </w:r>
      <w:r w:rsidR="00532FC5">
        <w:rPr>
          <w:rStyle w:val="FootnoteReference"/>
          <w:sz w:val="20"/>
        </w:rPr>
        <w:footnoteReference w:id="11"/>
      </w:r>
      <w:r w:rsidR="00532FC5">
        <w:rPr>
          <w:sz w:val="20"/>
        </w:rPr>
        <w:t xml:space="preserve"> AEMO encourages all interested stakeholders to maintain a watching brief on this </w:t>
      </w:r>
      <w:r w:rsidR="003B6D7B">
        <w:rPr>
          <w:sz w:val="20"/>
        </w:rPr>
        <w:t>review</w:t>
      </w:r>
      <w:r w:rsidR="00532FC5">
        <w:rPr>
          <w:sz w:val="20"/>
        </w:rPr>
        <w:t xml:space="preserve"> as the FFR framework is developed. </w:t>
      </w:r>
    </w:p>
    <w:p w14:paraId="638F58B3" w14:textId="66770B72" w:rsidR="00DC4725" w:rsidRDefault="00DC4725" w:rsidP="003E5C30">
      <w:pPr>
        <w:pStyle w:val="BodyText"/>
        <w:rPr>
          <w:sz w:val="20"/>
        </w:rPr>
      </w:pPr>
      <w:r>
        <w:rPr>
          <w:sz w:val="20"/>
        </w:rPr>
        <w:t xml:space="preserve">There may also be scope for battery energy systems to provide network support </w:t>
      </w:r>
      <w:r w:rsidR="00324A4A">
        <w:rPr>
          <w:sz w:val="20"/>
        </w:rPr>
        <w:t xml:space="preserve">and control </w:t>
      </w:r>
      <w:r>
        <w:rPr>
          <w:sz w:val="20"/>
        </w:rPr>
        <w:t xml:space="preserve">services to </w:t>
      </w:r>
      <w:r w:rsidR="001A4889">
        <w:rPr>
          <w:sz w:val="20"/>
        </w:rPr>
        <w:t xml:space="preserve">a </w:t>
      </w:r>
      <w:r>
        <w:rPr>
          <w:sz w:val="20"/>
        </w:rPr>
        <w:t>TNSP, or in certain limited circumstances, to AEMO. The applicable regulatory framework is described in the AEMC’s final determination on network support and control ancillary services (NSCAS).</w:t>
      </w:r>
      <w:r>
        <w:rPr>
          <w:rStyle w:val="FootnoteReference"/>
          <w:sz w:val="20"/>
        </w:rPr>
        <w:footnoteReference w:id="12"/>
      </w:r>
    </w:p>
    <w:p w14:paraId="4F4EAB34" w14:textId="624BA8C8" w:rsidR="007922CC" w:rsidRDefault="007922CC" w:rsidP="001B1CDA">
      <w:pPr>
        <w:pStyle w:val="BodyText"/>
        <w:keepNext/>
        <w:rPr>
          <w:b/>
        </w:rPr>
      </w:pPr>
      <w:r>
        <w:rPr>
          <w:b/>
        </w:rPr>
        <w:t>Contacts</w:t>
      </w:r>
      <w:r w:rsidR="00A81406">
        <w:rPr>
          <w:b/>
        </w:rPr>
        <w:t xml:space="preserve"> for further information</w:t>
      </w:r>
    </w:p>
    <w:p w14:paraId="5A201175" w14:textId="77777777" w:rsidR="005B46B3" w:rsidRPr="00317A2E" w:rsidRDefault="008A157F" w:rsidP="005B46B3">
      <w:pPr>
        <w:pStyle w:val="BodyText"/>
        <w:numPr>
          <w:ilvl w:val="0"/>
          <w:numId w:val="22"/>
        </w:numPr>
        <w:rPr>
          <w:sz w:val="20"/>
        </w:rPr>
      </w:pPr>
      <w:r w:rsidRPr="00317A2E">
        <w:rPr>
          <w:sz w:val="20"/>
        </w:rPr>
        <w:t xml:space="preserve">For </w:t>
      </w:r>
      <w:r w:rsidR="00A81406" w:rsidRPr="00317A2E">
        <w:rPr>
          <w:sz w:val="20"/>
        </w:rPr>
        <w:t xml:space="preserve">further information on how to connect to the NEM please contact AEMO’s connections team: </w:t>
      </w:r>
    </w:p>
    <w:p w14:paraId="50C13DB2" w14:textId="7C5B4F12" w:rsidR="008A157F" w:rsidRPr="00317A2E" w:rsidRDefault="00220946" w:rsidP="001421BC">
      <w:pPr>
        <w:pStyle w:val="BodyText"/>
        <w:ind w:left="436" w:firstLine="284"/>
        <w:rPr>
          <w:sz w:val="20"/>
        </w:rPr>
      </w:pPr>
      <w:hyperlink r:id="rId15" w:history="1">
        <w:r w:rsidR="00A81406" w:rsidRPr="001421BC">
          <w:rPr>
            <w:rStyle w:val="Hyperlink"/>
            <w:sz w:val="20"/>
          </w:rPr>
          <w:t>connections@aemo.com.au</w:t>
        </w:r>
      </w:hyperlink>
      <w:r w:rsidR="001421BC">
        <w:rPr>
          <w:sz w:val="20"/>
        </w:rPr>
        <w:t xml:space="preserve">  </w:t>
      </w:r>
    </w:p>
    <w:p w14:paraId="15021BB6" w14:textId="69CF4F7D" w:rsidR="00AB6901" w:rsidRDefault="00AB6901" w:rsidP="005B46B3">
      <w:pPr>
        <w:pStyle w:val="BodyText"/>
        <w:numPr>
          <w:ilvl w:val="0"/>
          <w:numId w:val="22"/>
        </w:numPr>
        <w:rPr>
          <w:sz w:val="20"/>
        </w:rPr>
      </w:pPr>
      <w:r>
        <w:rPr>
          <w:sz w:val="20"/>
        </w:rPr>
        <w:t>For further information on the registration process, please contact AEMO’s onboarding team:</w:t>
      </w:r>
    </w:p>
    <w:p w14:paraId="53C5E42C" w14:textId="2147BAE7" w:rsidR="00AB6901" w:rsidRDefault="00220946" w:rsidP="00345652">
      <w:pPr>
        <w:pStyle w:val="BodyText"/>
        <w:ind w:left="720"/>
        <w:rPr>
          <w:sz w:val="20"/>
        </w:rPr>
      </w:pPr>
      <w:hyperlink r:id="rId16" w:history="1">
        <w:r w:rsidR="00AB6901" w:rsidRPr="00E37679">
          <w:rPr>
            <w:rStyle w:val="Hyperlink"/>
            <w:sz w:val="20"/>
          </w:rPr>
          <w:t>onboarding@aemo.com.au</w:t>
        </w:r>
      </w:hyperlink>
      <w:r w:rsidR="00AB6901">
        <w:rPr>
          <w:sz w:val="20"/>
        </w:rPr>
        <w:t xml:space="preserve"> </w:t>
      </w:r>
    </w:p>
    <w:p w14:paraId="25B66AC1" w14:textId="0A30DB21" w:rsidR="00A81406" w:rsidRDefault="00A81406" w:rsidP="005B46B3">
      <w:pPr>
        <w:pStyle w:val="BodyText"/>
        <w:numPr>
          <w:ilvl w:val="0"/>
          <w:numId w:val="22"/>
        </w:numPr>
        <w:rPr>
          <w:sz w:val="20"/>
        </w:rPr>
      </w:pPr>
      <w:r w:rsidRPr="00317A2E">
        <w:rPr>
          <w:sz w:val="20"/>
        </w:rPr>
        <w:t>For further information on any other specific issue please contact the AEMO support hub</w:t>
      </w:r>
      <w:r w:rsidR="005B46B3" w:rsidRPr="00317A2E">
        <w:rPr>
          <w:sz w:val="20"/>
        </w:rPr>
        <w:t>:</w:t>
      </w:r>
      <w:r w:rsidRPr="00317A2E">
        <w:rPr>
          <w:sz w:val="20"/>
        </w:rPr>
        <w:t xml:space="preserve"> </w:t>
      </w:r>
    </w:p>
    <w:p w14:paraId="58F7B359" w14:textId="6887E55B" w:rsidR="006B344E" w:rsidRPr="006B344E" w:rsidRDefault="00220946" w:rsidP="006B344E">
      <w:pPr>
        <w:pStyle w:val="BodyText"/>
        <w:ind w:left="512" w:firstLine="208"/>
        <w:rPr>
          <w:rStyle w:val="Hyperlink"/>
        </w:rPr>
      </w:pPr>
      <w:hyperlink r:id="rId17" w:history="1">
        <w:r w:rsidR="006B344E" w:rsidRPr="006B344E">
          <w:rPr>
            <w:rStyle w:val="Hyperlink"/>
            <w:sz w:val="20"/>
          </w:rPr>
          <w:t>supporthub@aemo.com.au</w:t>
        </w:r>
      </w:hyperlink>
    </w:p>
    <w:p w14:paraId="5518CA0B" w14:textId="77777777" w:rsidR="00EE31DB" w:rsidRDefault="00EE31DB" w:rsidP="00EE31DB">
      <w:pPr>
        <w:pStyle w:val="Title"/>
        <w:rPr>
          <w:sz w:val="24"/>
          <w:szCs w:val="24"/>
        </w:rPr>
      </w:pPr>
    </w:p>
    <w:p w14:paraId="08591C83" w14:textId="19568FE2" w:rsidR="00C45B62" w:rsidRPr="00EE31DB" w:rsidRDefault="001B1CDA" w:rsidP="00EE31DB">
      <w:pPr>
        <w:pStyle w:val="Title"/>
        <w:rPr>
          <w:sz w:val="24"/>
          <w:szCs w:val="24"/>
        </w:rPr>
      </w:pPr>
      <w:r w:rsidRPr="00EE31DB">
        <w:rPr>
          <w:sz w:val="24"/>
          <w:szCs w:val="24"/>
        </w:rPr>
        <w:t>Frequently Asked</w:t>
      </w:r>
      <w:r w:rsidR="00C45B62" w:rsidRPr="00EE31DB">
        <w:rPr>
          <w:sz w:val="24"/>
          <w:szCs w:val="24"/>
        </w:rPr>
        <w:t xml:space="preserve"> Questions</w:t>
      </w:r>
    </w:p>
    <w:p w14:paraId="6538A7B3" w14:textId="2A0A4EA5" w:rsidR="003E5C30" w:rsidRPr="003E5C30" w:rsidRDefault="00905757" w:rsidP="003E5C30">
      <w:pPr>
        <w:pStyle w:val="BodyText"/>
        <w:rPr>
          <w:b/>
        </w:rPr>
      </w:pPr>
      <w:r>
        <w:rPr>
          <w:b/>
        </w:rPr>
        <w:t xml:space="preserve">REGISTRATION - </w:t>
      </w:r>
      <w:r w:rsidR="003E5C30" w:rsidRPr="003E5C30">
        <w:rPr>
          <w:b/>
        </w:rPr>
        <w:t>STANDALONE INSTALLATIONS</w:t>
      </w:r>
    </w:p>
    <w:p w14:paraId="19F5B878" w14:textId="75A84113" w:rsidR="00486647" w:rsidRDefault="00486647" w:rsidP="00F26C0E">
      <w:pPr>
        <w:pStyle w:val="BodyText"/>
        <w:rPr>
          <w:b/>
          <w:sz w:val="20"/>
        </w:rPr>
      </w:pPr>
      <w:r>
        <w:rPr>
          <w:b/>
          <w:sz w:val="20"/>
        </w:rPr>
        <w:t>If I install a 5MW battery, must I apply for registration?</w:t>
      </w:r>
    </w:p>
    <w:p w14:paraId="17140248" w14:textId="084E2D11" w:rsidR="00486647" w:rsidRPr="00486647" w:rsidRDefault="00486647" w:rsidP="00F26C0E">
      <w:pPr>
        <w:pStyle w:val="BodyText"/>
        <w:rPr>
          <w:sz w:val="20"/>
        </w:rPr>
      </w:pPr>
      <w:r>
        <w:rPr>
          <w:sz w:val="20"/>
        </w:rPr>
        <w:t xml:space="preserve">Yes. </w:t>
      </w:r>
      <w:r w:rsidR="001239EB">
        <w:rPr>
          <w:sz w:val="20"/>
        </w:rPr>
        <w:t>AEMO has determined that any battery of 5MW capacity or more has the potential to impact power system security and requires that a person engaged in generating electricity using such a battery must be registered in the NEM. For further information, see AEMO’s Guide to Generator Exemptions &amp; Classification of Generating Units.</w:t>
      </w:r>
    </w:p>
    <w:p w14:paraId="02B28E91" w14:textId="77777777" w:rsidR="00486647" w:rsidRDefault="00486647" w:rsidP="00F26C0E">
      <w:pPr>
        <w:pStyle w:val="BodyText"/>
        <w:rPr>
          <w:b/>
          <w:sz w:val="20"/>
        </w:rPr>
      </w:pPr>
    </w:p>
    <w:p w14:paraId="0611B653" w14:textId="6BF9F997" w:rsidR="00780116" w:rsidRPr="00780116" w:rsidRDefault="00780116" w:rsidP="00F26C0E">
      <w:pPr>
        <w:pStyle w:val="BodyText"/>
        <w:rPr>
          <w:b/>
          <w:sz w:val="20"/>
        </w:rPr>
      </w:pPr>
      <w:r w:rsidRPr="00780116">
        <w:rPr>
          <w:b/>
          <w:sz w:val="20"/>
        </w:rPr>
        <w:t>Why isn’t the battery load considered to be an auxiliary load?</w:t>
      </w:r>
    </w:p>
    <w:p w14:paraId="01013665" w14:textId="020BC42F" w:rsidR="007866FC" w:rsidRDefault="007866FC" w:rsidP="00F26C0E">
      <w:pPr>
        <w:pStyle w:val="BodyText"/>
        <w:rPr>
          <w:sz w:val="20"/>
        </w:rPr>
      </w:pPr>
      <w:r>
        <w:rPr>
          <w:sz w:val="20"/>
        </w:rPr>
        <w:t xml:space="preserve">Although there is no standard definition of ‘auxiliary load’, AEMO uses the term to denote the </w:t>
      </w:r>
      <w:r w:rsidR="00B321DF">
        <w:rPr>
          <w:sz w:val="20"/>
        </w:rPr>
        <w:t xml:space="preserve">components of a </w:t>
      </w:r>
      <w:r w:rsidR="004A2798">
        <w:rPr>
          <w:sz w:val="20"/>
        </w:rPr>
        <w:t xml:space="preserve">generating system that </w:t>
      </w:r>
      <w:r w:rsidR="00B321DF">
        <w:rPr>
          <w:sz w:val="20"/>
        </w:rPr>
        <w:t xml:space="preserve">consume electricity to provide operational </w:t>
      </w:r>
      <w:r w:rsidR="004A2798">
        <w:rPr>
          <w:sz w:val="20"/>
        </w:rPr>
        <w:t xml:space="preserve">assistance to </w:t>
      </w:r>
      <w:r w:rsidR="00B321DF">
        <w:rPr>
          <w:sz w:val="20"/>
        </w:rPr>
        <w:t>generating units</w:t>
      </w:r>
      <w:r w:rsidR="001239EB">
        <w:rPr>
          <w:sz w:val="20"/>
        </w:rPr>
        <w:t xml:space="preserve">, especially where </w:t>
      </w:r>
      <w:r w:rsidR="00B321DF">
        <w:rPr>
          <w:sz w:val="20"/>
        </w:rPr>
        <w:t>this may support maintenance activities or assisting the generating system to come online</w:t>
      </w:r>
      <w:r w:rsidR="004A2798">
        <w:rPr>
          <w:sz w:val="20"/>
        </w:rPr>
        <w:t xml:space="preserve">.  </w:t>
      </w:r>
      <w:r w:rsidR="003A1438">
        <w:rPr>
          <w:sz w:val="20"/>
        </w:rPr>
        <w:t>Batteries that are less than 5MW may be considered to be auxiliary load.</w:t>
      </w:r>
    </w:p>
    <w:p w14:paraId="62C0DFBA" w14:textId="77777777" w:rsidR="00F26C0E" w:rsidRPr="004A5AC8" w:rsidRDefault="00F26C0E" w:rsidP="00F26C0E">
      <w:pPr>
        <w:pStyle w:val="BodyText"/>
        <w:rPr>
          <w:sz w:val="20"/>
        </w:rPr>
      </w:pPr>
    </w:p>
    <w:p w14:paraId="0E92BB10" w14:textId="335B5898" w:rsidR="00B41F9C" w:rsidRPr="003E5C30" w:rsidRDefault="00905757" w:rsidP="00EB1D02">
      <w:pPr>
        <w:rPr>
          <w:b/>
        </w:rPr>
      </w:pPr>
      <w:r w:rsidRPr="00905757">
        <w:rPr>
          <w:b/>
          <w:sz w:val="22"/>
        </w:rPr>
        <w:t xml:space="preserve">REGISTRATION </w:t>
      </w:r>
      <w:r>
        <w:rPr>
          <w:b/>
          <w:sz w:val="22"/>
        </w:rPr>
        <w:t xml:space="preserve">- </w:t>
      </w:r>
      <w:r w:rsidR="003E5C30" w:rsidRPr="004A5AC8">
        <w:rPr>
          <w:b/>
          <w:sz w:val="22"/>
        </w:rPr>
        <w:t>INSTALLATIONS AS PART OF A</w:t>
      </w:r>
      <w:r>
        <w:rPr>
          <w:b/>
          <w:sz w:val="22"/>
        </w:rPr>
        <w:t>N EXISTING</w:t>
      </w:r>
      <w:r w:rsidR="003E5C30" w:rsidRPr="004A5AC8">
        <w:rPr>
          <w:b/>
          <w:sz w:val="22"/>
        </w:rPr>
        <w:t xml:space="preserve"> GENERATING SYSTEM</w:t>
      </w:r>
    </w:p>
    <w:p w14:paraId="76433F6D" w14:textId="5F0434C6" w:rsidR="003E5C30" w:rsidRPr="004A5AC8" w:rsidRDefault="003E5C30" w:rsidP="003E5C30">
      <w:pPr>
        <w:pStyle w:val="BodyText"/>
        <w:rPr>
          <w:b/>
          <w:sz w:val="20"/>
        </w:rPr>
      </w:pPr>
      <w:r w:rsidRPr="004A5AC8">
        <w:rPr>
          <w:b/>
          <w:sz w:val="20"/>
        </w:rPr>
        <w:t>If I install a 100</w:t>
      </w:r>
      <w:r w:rsidR="00BA7A3A" w:rsidRPr="004A5AC8">
        <w:rPr>
          <w:b/>
          <w:sz w:val="20"/>
        </w:rPr>
        <w:t>MW</w:t>
      </w:r>
      <w:r w:rsidRPr="004A5AC8">
        <w:rPr>
          <w:b/>
          <w:sz w:val="20"/>
        </w:rPr>
        <w:t xml:space="preserve"> battery as part of an existing market generating system, must I apply to register as </w:t>
      </w:r>
      <w:r w:rsidR="00AA2FEC">
        <w:rPr>
          <w:b/>
          <w:sz w:val="20"/>
        </w:rPr>
        <w:t xml:space="preserve">both </w:t>
      </w:r>
      <w:r w:rsidRPr="004A5AC8">
        <w:rPr>
          <w:b/>
          <w:sz w:val="20"/>
        </w:rPr>
        <w:t xml:space="preserve">a Generator </w:t>
      </w:r>
      <w:r w:rsidR="00AA2FEC">
        <w:rPr>
          <w:b/>
          <w:sz w:val="20"/>
        </w:rPr>
        <w:t>and</w:t>
      </w:r>
      <w:r w:rsidR="00AA2FEC" w:rsidRPr="004A5AC8">
        <w:rPr>
          <w:b/>
          <w:sz w:val="20"/>
        </w:rPr>
        <w:t xml:space="preserve"> </w:t>
      </w:r>
      <w:r w:rsidRPr="004A5AC8">
        <w:rPr>
          <w:b/>
          <w:sz w:val="20"/>
        </w:rPr>
        <w:t>a Customer?</w:t>
      </w:r>
    </w:p>
    <w:p w14:paraId="700D6F76" w14:textId="686C32C9" w:rsidR="00E319CB" w:rsidRDefault="003A1438" w:rsidP="000D6491">
      <w:pPr>
        <w:pStyle w:val="BodyText"/>
        <w:rPr>
          <w:sz w:val="20"/>
        </w:rPr>
      </w:pPr>
      <w:r>
        <w:rPr>
          <w:sz w:val="20"/>
        </w:rPr>
        <w:t>I</w:t>
      </w:r>
      <w:r w:rsidR="0066328E">
        <w:rPr>
          <w:sz w:val="20"/>
        </w:rPr>
        <w:t>f the battery energy system has a nameplate capacity (individually or in aggregate) that is greater than or equal to 5MW,</w:t>
      </w:r>
      <w:r>
        <w:rPr>
          <w:sz w:val="20"/>
        </w:rPr>
        <w:t xml:space="preserve"> then the simplest approach is </w:t>
      </w:r>
      <w:r w:rsidR="001D75B4">
        <w:rPr>
          <w:sz w:val="20"/>
        </w:rPr>
        <w:t>to register</w:t>
      </w:r>
      <w:r w:rsidR="0066328E">
        <w:rPr>
          <w:sz w:val="20"/>
        </w:rPr>
        <w:t xml:space="preserve"> </w:t>
      </w:r>
      <w:r>
        <w:rPr>
          <w:sz w:val="20"/>
        </w:rPr>
        <w:t xml:space="preserve">the battery </w:t>
      </w:r>
      <w:r w:rsidR="0066328E">
        <w:rPr>
          <w:sz w:val="20"/>
        </w:rPr>
        <w:t xml:space="preserve">separately to the existing market generating system as </w:t>
      </w:r>
      <w:r w:rsidR="00E319CB" w:rsidRPr="004A5AC8">
        <w:rPr>
          <w:sz w:val="20"/>
        </w:rPr>
        <w:t>both</w:t>
      </w:r>
      <w:r w:rsidR="00E319CB">
        <w:rPr>
          <w:sz w:val="20"/>
        </w:rPr>
        <w:t xml:space="preserve"> a Generator and a </w:t>
      </w:r>
      <w:r w:rsidR="001239EB">
        <w:rPr>
          <w:sz w:val="20"/>
        </w:rPr>
        <w:t>Market Customer</w:t>
      </w:r>
      <w:r w:rsidR="001D4186">
        <w:rPr>
          <w:sz w:val="20"/>
        </w:rPr>
        <w:t>, classified as Scheduled</w:t>
      </w:r>
      <w:r w:rsidR="0066328E">
        <w:rPr>
          <w:sz w:val="20"/>
        </w:rPr>
        <w:t xml:space="preserve">. In this scenario, the battery energy system would operate as a separate </w:t>
      </w:r>
      <w:r w:rsidR="001D75B4">
        <w:rPr>
          <w:sz w:val="20"/>
        </w:rPr>
        <w:t>unit behind the</w:t>
      </w:r>
      <w:r w:rsidR="0066328E">
        <w:rPr>
          <w:sz w:val="20"/>
        </w:rPr>
        <w:t xml:space="preserve"> existing point of connection. </w:t>
      </w:r>
      <w:r>
        <w:rPr>
          <w:sz w:val="20"/>
        </w:rPr>
        <w:t xml:space="preserve">However, AEMO </w:t>
      </w:r>
      <w:r w:rsidR="00BB7225">
        <w:rPr>
          <w:sz w:val="20"/>
        </w:rPr>
        <w:t>will</w:t>
      </w:r>
      <w:r>
        <w:rPr>
          <w:sz w:val="20"/>
        </w:rPr>
        <w:t xml:space="preserve"> consider alternative </w:t>
      </w:r>
      <w:r w:rsidR="00BB7225">
        <w:rPr>
          <w:sz w:val="20"/>
        </w:rPr>
        <w:t>proposals</w:t>
      </w:r>
      <w:r>
        <w:rPr>
          <w:sz w:val="20"/>
        </w:rPr>
        <w:t xml:space="preserve"> that do not compromise the reliability or security of the power system.</w:t>
      </w:r>
    </w:p>
    <w:p w14:paraId="41D8A0AF" w14:textId="77777777" w:rsidR="00C66177" w:rsidRDefault="00C66177" w:rsidP="00780116">
      <w:pPr>
        <w:rPr>
          <w:b/>
        </w:rPr>
      </w:pPr>
    </w:p>
    <w:p w14:paraId="20936B97" w14:textId="77777777" w:rsidR="00C66177" w:rsidRDefault="00C66177">
      <w:pPr>
        <w:rPr>
          <w:b/>
        </w:rPr>
      </w:pPr>
      <w:r>
        <w:rPr>
          <w:b/>
        </w:rPr>
        <w:br w:type="page"/>
      </w:r>
    </w:p>
    <w:p w14:paraId="01E1A7BC" w14:textId="31CD005B" w:rsidR="004A5AC8" w:rsidRDefault="00905757" w:rsidP="00780116">
      <w:pPr>
        <w:rPr>
          <w:b/>
        </w:rPr>
      </w:pPr>
      <w:r>
        <w:rPr>
          <w:b/>
        </w:rPr>
        <w:lastRenderedPageBreak/>
        <w:t xml:space="preserve">REGISTRATION </w:t>
      </w:r>
      <w:r w:rsidR="001B1CDA">
        <w:rPr>
          <w:b/>
        </w:rPr>
        <w:t>–</w:t>
      </w:r>
      <w:r>
        <w:rPr>
          <w:b/>
        </w:rPr>
        <w:t xml:space="preserve"> </w:t>
      </w:r>
      <w:r w:rsidR="004A5AC8">
        <w:rPr>
          <w:b/>
        </w:rPr>
        <w:t>CLASSIFICATION</w:t>
      </w:r>
    </w:p>
    <w:p w14:paraId="1A3D7ED5" w14:textId="1C0B3108" w:rsidR="00006095" w:rsidRPr="00905757" w:rsidRDefault="00006095" w:rsidP="00006095">
      <w:pPr>
        <w:pStyle w:val="BodyText"/>
        <w:rPr>
          <w:b/>
          <w:sz w:val="20"/>
        </w:rPr>
      </w:pPr>
      <w:r w:rsidRPr="00905757">
        <w:rPr>
          <w:b/>
          <w:sz w:val="20"/>
        </w:rPr>
        <w:t>I am planning on installing a 5MW battery installation.  Why does it have to be scheduled?</w:t>
      </w:r>
    </w:p>
    <w:p w14:paraId="1FFC0B01" w14:textId="1755894E" w:rsidR="00006095" w:rsidRDefault="00324A4A" w:rsidP="00006095">
      <w:pPr>
        <w:pStyle w:val="BodyText"/>
        <w:rPr>
          <w:sz w:val="20"/>
        </w:rPr>
      </w:pPr>
      <w:r>
        <w:rPr>
          <w:sz w:val="20"/>
        </w:rPr>
        <w:t xml:space="preserve">As </w:t>
      </w:r>
      <w:r w:rsidR="00935631">
        <w:rPr>
          <w:sz w:val="20"/>
        </w:rPr>
        <w:t>a battery can change its output</w:t>
      </w:r>
      <w:r>
        <w:rPr>
          <w:sz w:val="20"/>
        </w:rPr>
        <w:t xml:space="preserve"> virtually instantaneously</w:t>
      </w:r>
      <w:r w:rsidR="00935631">
        <w:rPr>
          <w:sz w:val="20"/>
        </w:rPr>
        <w:t xml:space="preserve">, </w:t>
      </w:r>
      <w:r>
        <w:rPr>
          <w:sz w:val="20"/>
        </w:rPr>
        <w:t xml:space="preserve">even </w:t>
      </w:r>
      <w:r w:rsidR="00935631">
        <w:rPr>
          <w:sz w:val="20"/>
        </w:rPr>
        <w:t>a</w:t>
      </w:r>
      <w:r>
        <w:rPr>
          <w:sz w:val="20"/>
        </w:rPr>
        <w:t xml:space="preserve"> 5MW battery can have an </w:t>
      </w:r>
      <w:r w:rsidR="00006095">
        <w:rPr>
          <w:sz w:val="20"/>
        </w:rPr>
        <w:t>impact on power system security and reliability</w:t>
      </w:r>
      <w:r>
        <w:rPr>
          <w:sz w:val="20"/>
        </w:rPr>
        <w:t>.</w:t>
      </w:r>
      <w:r w:rsidR="005104B6">
        <w:rPr>
          <w:sz w:val="20"/>
        </w:rPr>
        <w:t xml:space="preserve"> </w:t>
      </w:r>
      <w:r w:rsidR="00006095">
        <w:rPr>
          <w:sz w:val="20"/>
        </w:rPr>
        <w:t>AEMO will need timely and accurate information about when and how a battery is to be charged or discharged. The</w:t>
      </w:r>
      <w:r w:rsidR="00CA28C7">
        <w:rPr>
          <w:sz w:val="20"/>
        </w:rPr>
        <w:t xml:space="preserve"> systems that are in place for </w:t>
      </w:r>
      <w:r w:rsidR="001239EB">
        <w:rPr>
          <w:sz w:val="20"/>
        </w:rPr>
        <w:t>scheduled generating units and scheduled loads</w:t>
      </w:r>
      <w:r w:rsidR="00006095">
        <w:rPr>
          <w:sz w:val="20"/>
        </w:rPr>
        <w:t xml:space="preserve"> facilitate the provision of this information to AEMO. </w:t>
      </w:r>
    </w:p>
    <w:p w14:paraId="132C89C2" w14:textId="77777777" w:rsidR="00006095" w:rsidRDefault="00006095" w:rsidP="00905757">
      <w:pPr>
        <w:pStyle w:val="BodyText"/>
        <w:rPr>
          <w:b/>
          <w:sz w:val="20"/>
        </w:rPr>
      </w:pPr>
    </w:p>
    <w:p w14:paraId="7611C3D2" w14:textId="77777777" w:rsidR="00905757" w:rsidRPr="004A5AC8" w:rsidRDefault="00905757" w:rsidP="00905757">
      <w:pPr>
        <w:pStyle w:val="BodyText"/>
        <w:rPr>
          <w:b/>
          <w:sz w:val="20"/>
        </w:rPr>
      </w:pPr>
      <w:r w:rsidRPr="004A5AC8">
        <w:rPr>
          <w:b/>
          <w:sz w:val="20"/>
        </w:rPr>
        <w:t>Is a battery installation considered to be intermittent generation and can it be classified as semi-scheduled?</w:t>
      </w:r>
    </w:p>
    <w:p w14:paraId="2292515E" w14:textId="2EB19361" w:rsidR="00905757" w:rsidRPr="004A5AC8" w:rsidRDefault="00905757" w:rsidP="00905757">
      <w:pPr>
        <w:pStyle w:val="BodyText"/>
        <w:rPr>
          <w:sz w:val="20"/>
        </w:rPr>
      </w:pPr>
      <w:r w:rsidRPr="004A5AC8">
        <w:rPr>
          <w:sz w:val="20"/>
        </w:rPr>
        <w:t xml:space="preserve">No. The NER definition of </w:t>
      </w:r>
      <w:r w:rsidR="008B3136">
        <w:rPr>
          <w:sz w:val="20"/>
        </w:rPr>
        <w:t>‘</w:t>
      </w:r>
      <w:r w:rsidRPr="004A5AC8">
        <w:rPr>
          <w:sz w:val="20"/>
        </w:rPr>
        <w:t>intermittent</w:t>
      </w:r>
      <w:r w:rsidR="008B3136">
        <w:rPr>
          <w:sz w:val="20"/>
        </w:rPr>
        <w:t>’</w:t>
      </w:r>
      <w:r w:rsidRPr="004A5AC8">
        <w:rPr>
          <w:sz w:val="20"/>
        </w:rPr>
        <w:t xml:space="preserve"> requires that the output not be readily predictable. Battery storage installations </w:t>
      </w:r>
      <w:r w:rsidR="00D7634D">
        <w:rPr>
          <w:sz w:val="20"/>
        </w:rPr>
        <w:t xml:space="preserve">are expected to </w:t>
      </w:r>
      <w:r w:rsidRPr="004A5AC8">
        <w:rPr>
          <w:sz w:val="20"/>
        </w:rPr>
        <w:t>be controlled, so they don’t meet this requirement.</w:t>
      </w:r>
    </w:p>
    <w:p w14:paraId="62484336" w14:textId="77777777" w:rsidR="00905757" w:rsidRPr="004A5AC8" w:rsidRDefault="00905757" w:rsidP="00905757">
      <w:pPr>
        <w:pStyle w:val="BodyText"/>
        <w:rPr>
          <w:sz w:val="20"/>
        </w:rPr>
      </w:pPr>
      <w:r w:rsidRPr="004A5AC8">
        <w:rPr>
          <w:sz w:val="20"/>
        </w:rPr>
        <w:t>Hence, a battery installation cannot be classified as semi-scheduled.</w:t>
      </w:r>
    </w:p>
    <w:p w14:paraId="032E7B59" w14:textId="76B7E1E5" w:rsidR="00074472" w:rsidRPr="004A5AC8" w:rsidRDefault="007866FC" w:rsidP="00905757">
      <w:pPr>
        <w:pStyle w:val="BodyText"/>
        <w:rPr>
          <w:sz w:val="20"/>
        </w:rPr>
      </w:pPr>
      <w:r>
        <w:rPr>
          <w:sz w:val="20"/>
        </w:rPr>
        <w:t xml:space="preserve">The situation becomes complicated if </w:t>
      </w:r>
      <w:r w:rsidR="00074472">
        <w:rPr>
          <w:sz w:val="20"/>
        </w:rPr>
        <w:t xml:space="preserve">you </w:t>
      </w:r>
      <w:r>
        <w:rPr>
          <w:sz w:val="20"/>
        </w:rPr>
        <w:t xml:space="preserve">are proposing to install battery storage within an existing semi-scheduled generating system. This would require a reconsideration of the classification of the </w:t>
      </w:r>
      <w:r w:rsidR="00074472">
        <w:rPr>
          <w:sz w:val="20"/>
        </w:rPr>
        <w:t>whole site.</w:t>
      </w:r>
      <w:r w:rsidR="00074472" w:rsidRPr="00872C78">
        <w:rPr>
          <w:sz w:val="18"/>
          <w:szCs w:val="18"/>
        </w:rPr>
        <w:t xml:space="preserve"> </w:t>
      </w:r>
      <w:r w:rsidRPr="00872C78">
        <w:rPr>
          <w:sz w:val="18"/>
          <w:szCs w:val="18"/>
        </w:rPr>
        <w:t xml:space="preserve"> </w:t>
      </w:r>
      <w:r w:rsidR="00872C78" w:rsidRPr="00872C78">
        <w:rPr>
          <w:sz w:val="20"/>
        </w:rPr>
        <w:t>AEMO may consider that the combined installation will be reclassified as scheduled, but will make this determination on a case by case basis.</w:t>
      </w:r>
      <w:r w:rsidR="00872C78" w:rsidRPr="00872C78">
        <w:rPr>
          <w:sz w:val="18"/>
          <w:szCs w:val="18"/>
        </w:rPr>
        <w:t xml:space="preserve"> </w:t>
      </w:r>
    </w:p>
    <w:p w14:paraId="056D637B" w14:textId="77777777" w:rsidR="00905757" w:rsidRPr="004A5AC8" w:rsidRDefault="00905757" w:rsidP="00905757">
      <w:pPr>
        <w:pStyle w:val="BodyText"/>
        <w:rPr>
          <w:sz w:val="20"/>
        </w:rPr>
      </w:pPr>
    </w:p>
    <w:p w14:paraId="32DB45DE" w14:textId="24304191" w:rsidR="00FE375F" w:rsidRPr="00FE375F" w:rsidRDefault="00FE375F" w:rsidP="00935631">
      <w:pPr>
        <w:keepNext/>
        <w:rPr>
          <w:b/>
        </w:rPr>
      </w:pPr>
      <w:r w:rsidRPr="00FE375F">
        <w:rPr>
          <w:b/>
        </w:rPr>
        <w:t>METERING</w:t>
      </w:r>
      <w:r w:rsidR="00233EB0">
        <w:rPr>
          <w:b/>
        </w:rPr>
        <w:t xml:space="preserve"> &amp; SETTLEMENTS</w:t>
      </w:r>
    </w:p>
    <w:p w14:paraId="3CAB1883" w14:textId="4D89AC18" w:rsidR="00FE375F" w:rsidRPr="00233EB0" w:rsidRDefault="00187FAB" w:rsidP="00187FAB">
      <w:pPr>
        <w:spacing w:after="120"/>
        <w:rPr>
          <w:b/>
        </w:rPr>
      </w:pPr>
      <w:r>
        <w:rPr>
          <w:b/>
        </w:rPr>
        <w:t>I am proposing</w:t>
      </w:r>
      <w:r w:rsidR="00FE375F" w:rsidRPr="00233EB0">
        <w:rPr>
          <w:b/>
        </w:rPr>
        <w:t xml:space="preserve"> a single NMI for </w:t>
      </w:r>
      <w:r>
        <w:rPr>
          <w:b/>
        </w:rPr>
        <w:t>my</w:t>
      </w:r>
      <w:r w:rsidR="00FE375F" w:rsidRPr="00233EB0">
        <w:rPr>
          <w:b/>
        </w:rPr>
        <w:t xml:space="preserve"> </w:t>
      </w:r>
      <w:r w:rsidR="00233EB0">
        <w:rPr>
          <w:b/>
        </w:rPr>
        <w:t>generating system</w:t>
      </w:r>
      <w:r w:rsidR="00FE375F" w:rsidRPr="00233EB0">
        <w:rPr>
          <w:b/>
        </w:rPr>
        <w:t xml:space="preserve"> </w:t>
      </w:r>
      <w:r w:rsidR="00891CDE">
        <w:rPr>
          <w:b/>
        </w:rPr>
        <w:t>and</w:t>
      </w:r>
      <w:r w:rsidR="00FE375F" w:rsidRPr="00233EB0">
        <w:rPr>
          <w:b/>
        </w:rPr>
        <w:t xml:space="preserve"> battery storage. </w:t>
      </w:r>
      <w:r>
        <w:rPr>
          <w:b/>
        </w:rPr>
        <w:t xml:space="preserve"> </w:t>
      </w:r>
      <w:r w:rsidR="00FE375F" w:rsidRPr="00233EB0">
        <w:rPr>
          <w:b/>
        </w:rPr>
        <w:t>Is this acceptable?</w:t>
      </w:r>
    </w:p>
    <w:p w14:paraId="27CC0690" w14:textId="5B4CAF14" w:rsidR="00187FAB" w:rsidRDefault="00187FAB" w:rsidP="00187FAB">
      <w:pPr>
        <w:spacing w:after="120"/>
      </w:pPr>
      <w:r>
        <w:t xml:space="preserve">The </w:t>
      </w:r>
      <w:r w:rsidR="00FD4B46">
        <w:t>FRMP</w:t>
      </w:r>
      <w:r w:rsidR="00AD14DC">
        <w:t xml:space="preserve"> is responsible for ensuring that </w:t>
      </w:r>
      <w:r w:rsidR="001C70A6">
        <w:t xml:space="preserve">each connection point </w:t>
      </w:r>
      <w:r w:rsidR="00AD14DC">
        <w:t>has a metering installation and a</w:t>
      </w:r>
      <w:r w:rsidR="001C70A6">
        <w:t xml:space="preserve"> NMI </w:t>
      </w:r>
      <w:r w:rsidR="00AD14DC">
        <w:t>(See NER 7.1.2(a), 7.3.1A(a) &amp; 7.3.1(e) re</w:t>
      </w:r>
      <w:r w:rsidR="00F20E9E">
        <w:t>garding</w:t>
      </w:r>
      <w:r w:rsidR="00AD14DC">
        <w:t xml:space="preserve"> NMI</w:t>
      </w:r>
      <w:r w:rsidR="00F20E9E">
        <w:t>s</w:t>
      </w:r>
      <w:r w:rsidR="00AD14DC">
        <w:t>, and NER 3.15.3 for financial responsibility)</w:t>
      </w:r>
      <w:r w:rsidR="001C70A6">
        <w:t>.</w:t>
      </w:r>
      <w:r w:rsidR="00AD14DC">
        <w:rPr>
          <w:rStyle w:val="FootnoteReference"/>
        </w:rPr>
        <w:footnoteReference w:id="13"/>
      </w:r>
    </w:p>
    <w:p w14:paraId="4A967D98" w14:textId="7F176575" w:rsidR="000C78CE" w:rsidRDefault="000C78CE" w:rsidP="00187FAB">
      <w:pPr>
        <w:spacing w:after="120"/>
      </w:pPr>
      <w:r w:rsidRPr="000C78CE">
        <w:t>MSATS, which is AEMO’s market settlements system, will only accept a NMI Classification Code of load or generator.  It cannot be both. Hence, if the battery and generating system are using the same connection point, they can have the same NMI for both charging and discharging only i</w:t>
      </w:r>
      <w:r>
        <w:t>f it is classified under NER 3.15.3</w:t>
      </w:r>
      <w:r w:rsidRPr="000C78CE">
        <w:t>(a) as a generation connection point for settlement purposes.</w:t>
      </w:r>
    </w:p>
    <w:p w14:paraId="2D7BAA4A" w14:textId="77777777" w:rsidR="00FE375F" w:rsidRDefault="00FE375F" w:rsidP="00FE375F"/>
    <w:p w14:paraId="18F37BA5" w14:textId="53F64DCF" w:rsidR="005B03A4" w:rsidRPr="00AD14DC" w:rsidRDefault="00AD14DC" w:rsidP="00AD14DC">
      <w:pPr>
        <w:spacing w:after="120"/>
        <w:rPr>
          <w:b/>
        </w:rPr>
      </w:pPr>
      <w:r w:rsidRPr="00AD14DC">
        <w:rPr>
          <w:b/>
        </w:rPr>
        <w:t>Do I need a physical metering installation at my connection point?</w:t>
      </w:r>
    </w:p>
    <w:p w14:paraId="7F720352" w14:textId="70B11942" w:rsidR="00AD14DC" w:rsidRDefault="0075582B" w:rsidP="00AD14DC">
      <w:pPr>
        <w:spacing w:after="120"/>
      </w:pPr>
      <w:r>
        <w:t>Yes, you need to have an NER compliant metering installation at each connection point</w:t>
      </w:r>
      <w:r w:rsidR="00E67EE9">
        <w:t xml:space="preserve">. </w:t>
      </w:r>
      <w:r w:rsidR="00BB501A">
        <w:t>AEMO may consider the use of “logical metering” algorithms, but they do not replace the need for NER-compliant metering installations. Logical metering arrangements must be approved by AEMO.</w:t>
      </w:r>
    </w:p>
    <w:p w14:paraId="0D15D6CC" w14:textId="77777777" w:rsidR="00FE375F" w:rsidRDefault="00FE375F" w:rsidP="00FE375F"/>
    <w:p w14:paraId="0B4F10ED" w14:textId="150C8B3D" w:rsidR="00EB1D02" w:rsidRDefault="00EB1D02" w:rsidP="00B41F9C">
      <w:pPr>
        <w:pStyle w:val="BodyText"/>
        <w:rPr>
          <w:b/>
        </w:rPr>
      </w:pPr>
      <w:r w:rsidRPr="00EB1D02">
        <w:rPr>
          <w:b/>
        </w:rPr>
        <w:t>PERFORMANCE STANDARDS</w:t>
      </w:r>
    </w:p>
    <w:p w14:paraId="129E7C52" w14:textId="1864C799" w:rsidR="00905757" w:rsidRPr="00935631" w:rsidRDefault="00935631" w:rsidP="00B41F9C">
      <w:pPr>
        <w:pStyle w:val="BodyText"/>
        <w:rPr>
          <w:b/>
          <w:sz w:val="20"/>
        </w:rPr>
      </w:pPr>
      <w:r w:rsidRPr="00935631">
        <w:rPr>
          <w:b/>
          <w:sz w:val="20"/>
        </w:rPr>
        <w:t xml:space="preserve">What performance standards will </w:t>
      </w:r>
      <w:r w:rsidR="001D75B4">
        <w:rPr>
          <w:b/>
          <w:sz w:val="20"/>
        </w:rPr>
        <w:t>be required</w:t>
      </w:r>
      <w:r w:rsidRPr="00935631">
        <w:rPr>
          <w:b/>
          <w:sz w:val="20"/>
        </w:rPr>
        <w:t>?</w:t>
      </w:r>
    </w:p>
    <w:p w14:paraId="17980A9B" w14:textId="30D80A7A" w:rsidR="005F63A9" w:rsidRDefault="005F63A9" w:rsidP="00A600CC">
      <w:pPr>
        <w:pStyle w:val="BodyText"/>
        <w:rPr>
          <w:sz w:val="20"/>
        </w:rPr>
      </w:pPr>
      <w:r>
        <w:rPr>
          <w:sz w:val="20"/>
        </w:rPr>
        <w:t>Performance standards will be required for installations where the aggregate nameplate capacity (</w:t>
      </w:r>
      <w:r w:rsidR="00006357">
        <w:rPr>
          <w:sz w:val="20"/>
        </w:rPr>
        <w:t xml:space="preserve">total </w:t>
      </w:r>
      <w:r>
        <w:rPr>
          <w:sz w:val="20"/>
        </w:rPr>
        <w:t>instantaneous peak capacity) is 5 MW or greater.</w:t>
      </w:r>
    </w:p>
    <w:p w14:paraId="603BF1D3" w14:textId="2BBE62EA" w:rsidR="00A600CC" w:rsidRDefault="0025477A" w:rsidP="00A600CC">
      <w:pPr>
        <w:pStyle w:val="BodyText"/>
        <w:rPr>
          <w:sz w:val="20"/>
        </w:rPr>
      </w:pPr>
      <w:r>
        <w:rPr>
          <w:sz w:val="20"/>
        </w:rPr>
        <w:t xml:space="preserve">If installed as part of an existing </w:t>
      </w:r>
      <w:r w:rsidR="00A600CC">
        <w:rPr>
          <w:sz w:val="20"/>
        </w:rPr>
        <w:t>generating system or Customer connection, and there are changes to the existing plant and/or performance of the existing plant, there will be requirement for AEMO and the relevant NSP to approve settings/configuration changes and revised performance standards. Relevant NER clauses are:</w:t>
      </w:r>
    </w:p>
    <w:p w14:paraId="3EB4A3A8" w14:textId="6ECDA676" w:rsidR="00575038" w:rsidRDefault="00575038" w:rsidP="008D42BF">
      <w:pPr>
        <w:pStyle w:val="BodyText"/>
        <w:numPr>
          <w:ilvl w:val="0"/>
          <w:numId w:val="22"/>
        </w:numPr>
        <w:rPr>
          <w:sz w:val="20"/>
        </w:rPr>
      </w:pPr>
      <w:r>
        <w:rPr>
          <w:sz w:val="20"/>
        </w:rPr>
        <w:t>5.3.4 – Application for connection</w:t>
      </w:r>
    </w:p>
    <w:p w14:paraId="23655484" w14:textId="7DCBBBD6" w:rsidR="00A600CC" w:rsidRDefault="00A600CC" w:rsidP="008D42BF">
      <w:pPr>
        <w:pStyle w:val="BodyText"/>
        <w:numPr>
          <w:ilvl w:val="0"/>
          <w:numId w:val="22"/>
        </w:numPr>
        <w:rPr>
          <w:sz w:val="20"/>
        </w:rPr>
      </w:pPr>
      <w:r>
        <w:rPr>
          <w:sz w:val="20"/>
        </w:rPr>
        <w:t>5.3.4A – Negotiated access standards</w:t>
      </w:r>
    </w:p>
    <w:p w14:paraId="5D0E1779" w14:textId="6DB67A45" w:rsidR="00A600CC" w:rsidRDefault="00A600CC" w:rsidP="008D42BF">
      <w:pPr>
        <w:pStyle w:val="BodyText"/>
        <w:numPr>
          <w:ilvl w:val="0"/>
          <w:numId w:val="22"/>
        </w:numPr>
        <w:rPr>
          <w:sz w:val="20"/>
        </w:rPr>
      </w:pPr>
      <w:r>
        <w:rPr>
          <w:sz w:val="20"/>
        </w:rPr>
        <w:t>5.3.9 – Procedure to be followed by a Generator proposing to alter a generating system</w:t>
      </w:r>
    </w:p>
    <w:p w14:paraId="3929D229" w14:textId="6F4AC90A" w:rsidR="00A600CC" w:rsidRDefault="00A600CC" w:rsidP="008D42BF">
      <w:pPr>
        <w:pStyle w:val="BodyText"/>
        <w:numPr>
          <w:ilvl w:val="0"/>
          <w:numId w:val="22"/>
        </w:numPr>
        <w:rPr>
          <w:sz w:val="20"/>
        </w:rPr>
      </w:pPr>
      <w:r>
        <w:rPr>
          <w:sz w:val="20"/>
        </w:rPr>
        <w:t>S5.2.2 – Application of Settings</w:t>
      </w:r>
    </w:p>
    <w:p w14:paraId="3E54D7AF" w14:textId="30B5BD65" w:rsidR="00006357" w:rsidRPr="00006357" w:rsidRDefault="00F0068B" w:rsidP="00006357">
      <w:pPr>
        <w:pStyle w:val="BodyText"/>
        <w:rPr>
          <w:sz w:val="20"/>
        </w:rPr>
      </w:pPr>
      <w:r>
        <w:rPr>
          <w:sz w:val="20"/>
        </w:rPr>
        <w:t xml:space="preserve">The </w:t>
      </w:r>
      <w:r w:rsidR="00006357">
        <w:rPr>
          <w:sz w:val="20"/>
        </w:rPr>
        <w:t xml:space="preserve">Generator </w:t>
      </w:r>
      <w:r w:rsidR="005F63A9">
        <w:rPr>
          <w:sz w:val="20"/>
        </w:rPr>
        <w:t xml:space="preserve">Performance </w:t>
      </w:r>
      <w:r>
        <w:rPr>
          <w:sz w:val="20"/>
        </w:rPr>
        <w:t>Standard template</w:t>
      </w:r>
      <w:r w:rsidR="00006357">
        <w:rPr>
          <w:sz w:val="20"/>
        </w:rPr>
        <w:t xml:space="preserve"> will apply</w:t>
      </w:r>
      <w:r>
        <w:rPr>
          <w:sz w:val="20"/>
        </w:rPr>
        <w:t xml:space="preserve"> as the starting point for performance standards, with </w:t>
      </w:r>
      <w:r w:rsidR="00C31CE6">
        <w:rPr>
          <w:sz w:val="20"/>
        </w:rPr>
        <w:t xml:space="preserve">some modifications to reflect the capability of the battery to operate as both a </w:t>
      </w:r>
      <w:r w:rsidR="00C31CE6">
        <w:rPr>
          <w:sz w:val="20"/>
        </w:rPr>
        <w:lastRenderedPageBreak/>
        <w:t>‘generator’ and a ‘load’. T</w:t>
      </w:r>
      <w:r>
        <w:rPr>
          <w:sz w:val="20"/>
        </w:rPr>
        <w:t>he maximum operating level</w:t>
      </w:r>
      <w:r w:rsidR="00006357" w:rsidRPr="00006357">
        <w:rPr>
          <w:sz w:val="20"/>
        </w:rPr>
        <w:t xml:space="preserve"> is the peak instantaneous generating capability of the battery, and </w:t>
      </w:r>
      <w:r>
        <w:rPr>
          <w:sz w:val="20"/>
        </w:rPr>
        <w:t>minimum operating level</w:t>
      </w:r>
      <w:r w:rsidR="00006357" w:rsidRPr="00006357">
        <w:rPr>
          <w:sz w:val="20"/>
        </w:rPr>
        <w:t xml:space="preserve"> is the peak instantaneous absorption capability of the battery. The performance requirements relating to reactive capability</w:t>
      </w:r>
      <w:r w:rsidR="002B4578">
        <w:rPr>
          <w:sz w:val="20"/>
        </w:rPr>
        <w:t xml:space="preserve"> and </w:t>
      </w:r>
      <w:r w:rsidR="00006357" w:rsidRPr="00006357">
        <w:rPr>
          <w:sz w:val="20"/>
        </w:rPr>
        <w:t>dynamic response will equally apply for both 'generator' and 'load' operating modes.</w:t>
      </w:r>
      <w:r w:rsidR="002B4578">
        <w:rPr>
          <w:sz w:val="20"/>
        </w:rPr>
        <w:t xml:space="preserve"> Additional provisions may apply, such as S5.3.10, and other performance requirements by agreement (e.g. Fast Frequency Response). </w:t>
      </w:r>
      <w:r>
        <w:rPr>
          <w:sz w:val="20"/>
        </w:rPr>
        <w:t>Additional requirements may apply, and be reflected in the performance standards, based on specific requirements (e.g. ESCOSA requirements).</w:t>
      </w:r>
    </w:p>
    <w:p w14:paraId="41E57BC8" w14:textId="1B460970" w:rsidR="00F0068B" w:rsidRPr="00006357" w:rsidRDefault="00F0068B" w:rsidP="00006357">
      <w:pPr>
        <w:pStyle w:val="BodyText"/>
        <w:rPr>
          <w:sz w:val="20"/>
        </w:rPr>
      </w:pPr>
      <w:r>
        <w:rPr>
          <w:sz w:val="20"/>
        </w:rPr>
        <w:t xml:space="preserve">For details of AEMO’s information, modelling and testing requirements, refer to the AEMO website or contact </w:t>
      </w:r>
      <w:hyperlink r:id="rId18" w:history="1">
        <w:r w:rsidRPr="00E3779A">
          <w:rPr>
            <w:rStyle w:val="Hyperlink"/>
            <w:sz w:val="20"/>
          </w:rPr>
          <w:t>connections@aemo.com.au</w:t>
        </w:r>
      </w:hyperlink>
      <w:r>
        <w:rPr>
          <w:sz w:val="20"/>
        </w:rPr>
        <w:t xml:space="preserve">. </w:t>
      </w:r>
    </w:p>
    <w:p w14:paraId="705CFF53" w14:textId="77777777" w:rsidR="00905757" w:rsidRDefault="00905757" w:rsidP="00B41F9C">
      <w:pPr>
        <w:pStyle w:val="BodyText"/>
        <w:rPr>
          <w:b/>
          <w:sz w:val="20"/>
        </w:rPr>
      </w:pPr>
    </w:p>
    <w:p w14:paraId="50BA73A3" w14:textId="27FED55E" w:rsidR="00780116" w:rsidRPr="00780116" w:rsidRDefault="00780116" w:rsidP="00B41F9C">
      <w:pPr>
        <w:pStyle w:val="BodyText"/>
        <w:rPr>
          <w:b/>
        </w:rPr>
      </w:pPr>
      <w:r w:rsidRPr="00780116">
        <w:rPr>
          <w:b/>
        </w:rPr>
        <w:t xml:space="preserve">OPERATIONAL </w:t>
      </w:r>
      <w:r>
        <w:rPr>
          <w:b/>
        </w:rPr>
        <w:t>ISSUES</w:t>
      </w:r>
    </w:p>
    <w:p w14:paraId="75F240B6" w14:textId="0EB0A248" w:rsidR="00780116" w:rsidRDefault="00780116" w:rsidP="00B41F9C">
      <w:pPr>
        <w:pStyle w:val="BodyText"/>
        <w:rPr>
          <w:b/>
          <w:sz w:val="20"/>
        </w:rPr>
      </w:pPr>
      <w:r>
        <w:rPr>
          <w:b/>
          <w:sz w:val="20"/>
        </w:rPr>
        <w:t xml:space="preserve">How will AEMO’s systems deal with </w:t>
      </w:r>
      <w:r w:rsidR="00031EB9">
        <w:rPr>
          <w:b/>
          <w:sz w:val="20"/>
        </w:rPr>
        <w:t>dispatch</w:t>
      </w:r>
      <w:r>
        <w:rPr>
          <w:b/>
          <w:sz w:val="20"/>
        </w:rPr>
        <w:t xml:space="preserve"> bids </w:t>
      </w:r>
      <w:r w:rsidR="00031EB9">
        <w:rPr>
          <w:b/>
          <w:sz w:val="20"/>
        </w:rPr>
        <w:t xml:space="preserve">for a Scheduled Load </w:t>
      </w:r>
      <w:r>
        <w:rPr>
          <w:b/>
          <w:sz w:val="20"/>
        </w:rPr>
        <w:t>and offers</w:t>
      </w:r>
      <w:r w:rsidR="00031EB9">
        <w:rPr>
          <w:b/>
          <w:sz w:val="20"/>
        </w:rPr>
        <w:t xml:space="preserve"> and generation bids for a Scheduled Generator</w:t>
      </w:r>
      <w:r>
        <w:rPr>
          <w:b/>
          <w:sz w:val="20"/>
        </w:rPr>
        <w:t>?</w:t>
      </w:r>
    </w:p>
    <w:p w14:paraId="1C07F706" w14:textId="08318A39" w:rsidR="00780116" w:rsidRDefault="00780116" w:rsidP="00B41F9C">
      <w:pPr>
        <w:pStyle w:val="BodyText"/>
        <w:rPr>
          <w:sz w:val="20"/>
        </w:rPr>
      </w:pPr>
      <w:r>
        <w:rPr>
          <w:sz w:val="20"/>
        </w:rPr>
        <w:t>NEMDE will dispatch both, regardless of whether the bids/offers are inconsistent with each other.</w:t>
      </w:r>
    </w:p>
    <w:p w14:paraId="38A923AA" w14:textId="21335F30" w:rsidR="0080393B" w:rsidRDefault="0080393B" w:rsidP="00B41F9C">
      <w:pPr>
        <w:pStyle w:val="BodyText"/>
        <w:rPr>
          <w:sz w:val="20"/>
        </w:rPr>
      </w:pPr>
      <w:r>
        <w:rPr>
          <w:sz w:val="20"/>
        </w:rPr>
        <w:t>It is up to the Market Participant to ensure that their bids/offers reflect their intentions.</w:t>
      </w:r>
    </w:p>
    <w:p w14:paraId="3B58F3AE" w14:textId="7727057E" w:rsidR="00F0068B" w:rsidRDefault="00F0068B" w:rsidP="00B41F9C">
      <w:pPr>
        <w:pStyle w:val="BodyText"/>
        <w:rPr>
          <w:sz w:val="20"/>
        </w:rPr>
      </w:pPr>
    </w:p>
    <w:p w14:paraId="4AD77241" w14:textId="7A924F26" w:rsidR="0080393B" w:rsidRPr="0080393B" w:rsidRDefault="0080393B" w:rsidP="00B41F9C">
      <w:pPr>
        <w:pStyle w:val="BodyText"/>
        <w:rPr>
          <w:b/>
          <w:sz w:val="20"/>
        </w:rPr>
      </w:pPr>
      <w:r w:rsidRPr="0080393B">
        <w:rPr>
          <w:b/>
          <w:sz w:val="20"/>
        </w:rPr>
        <w:t>Would AEMO impose any ramp rate restrictions on a battery?  If so, would they be implemented as a registration condition or a constraint equation?</w:t>
      </w:r>
    </w:p>
    <w:p w14:paraId="4646FBD5" w14:textId="79E81439" w:rsidR="0080393B" w:rsidRDefault="0080393B" w:rsidP="00B41F9C">
      <w:pPr>
        <w:pStyle w:val="BodyText"/>
        <w:rPr>
          <w:sz w:val="20"/>
        </w:rPr>
      </w:pPr>
      <w:r>
        <w:rPr>
          <w:sz w:val="20"/>
        </w:rPr>
        <w:t xml:space="preserve">It depends on the size of the battery.  If it were </w:t>
      </w:r>
      <w:r w:rsidR="00A76BE2">
        <w:rPr>
          <w:sz w:val="20"/>
        </w:rPr>
        <w:t>significant</w:t>
      </w:r>
      <w:r>
        <w:rPr>
          <w:sz w:val="20"/>
        </w:rPr>
        <w:t xml:space="preserve"> to have an impact on power system security, the fact that they can respond in less than a second to a price spike/fall would </w:t>
      </w:r>
      <w:r w:rsidR="00A76BE2">
        <w:rPr>
          <w:sz w:val="20"/>
        </w:rPr>
        <w:t xml:space="preserve">have a similar effect on the power system to a </w:t>
      </w:r>
      <w:r>
        <w:rPr>
          <w:sz w:val="20"/>
        </w:rPr>
        <w:t>contingency event.</w:t>
      </w:r>
      <w:r w:rsidR="00031EB9">
        <w:rPr>
          <w:sz w:val="20"/>
        </w:rPr>
        <w:t xml:space="preserve"> </w:t>
      </w:r>
      <w:r w:rsidR="00687885" w:rsidRPr="00687885">
        <w:rPr>
          <w:sz w:val="20"/>
        </w:rPr>
        <w:t xml:space="preserve">This is particularly the case if a number of different batteries were to all respond in a similar manner in response to </w:t>
      </w:r>
      <w:r w:rsidR="00687885">
        <w:rPr>
          <w:sz w:val="20"/>
        </w:rPr>
        <w:t xml:space="preserve">a </w:t>
      </w:r>
      <w:r w:rsidR="00687885" w:rsidRPr="00687885">
        <w:rPr>
          <w:sz w:val="20"/>
        </w:rPr>
        <w:t>chang</w:t>
      </w:r>
      <w:r w:rsidR="00687885">
        <w:rPr>
          <w:sz w:val="20"/>
        </w:rPr>
        <w:t>e in</w:t>
      </w:r>
      <w:r w:rsidR="00687885" w:rsidRPr="00687885">
        <w:rPr>
          <w:sz w:val="20"/>
        </w:rPr>
        <w:t xml:space="preserve"> price.</w:t>
      </w:r>
      <w:r w:rsidR="00687885">
        <w:rPr>
          <w:sz w:val="20"/>
        </w:rPr>
        <w:t xml:space="preserve"> </w:t>
      </w:r>
      <w:r w:rsidR="00031EB9">
        <w:rPr>
          <w:sz w:val="20"/>
        </w:rPr>
        <w:t xml:space="preserve">AEMO has the </w:t>
      </w:r>
      <w:r w:rsidR="00A76BE2">
        <w:rPr>
          <w:sz w:val="20"/>
        </w:rPr>
        <w:t>power under NER 4.9.5</w:t>
      </w:r>
      <w:r w:rsidR="00E9206F">
        <w:rPr>
          <w:sz w:val="20"/>
        </w:rPr>
        <w:t>(a)</w:t>
      </w:r>
      <w:r w:rsidR="00A76BE2">
        <w:rPr>
          <w:sz w:val="20"/>
        </w:rPr>
        <w:t xml:space="preserve">(3) to set a ramp rate limit that a generator </w:t>
      </w:r>
      <w:r w:rsidR="00FD4B46">
        <w:rPr>
          <w:sz w:val="20"/>
        </w:rPr>
        <w:t xml:space="preserve">must </w:t>
      </w:r>
      <w:r w:rsidR="00A76BE2">
        <w:rPr>
          <w:sz w:val="20"/>
        </w:rPr>
        <w:t>follow</w:t>
      </w:r>
      <w:r w:rsidR="00FD4B46">
        <w:rPr>
          <w:sz w:val="20"/>
        </w:rPr>
        <w:t xml:space="preserve"> </w:t>
      </w:r>
      <w:r w:rsidR="00AC2F78">
        <w:rPr>
          <w:sz w:val="20"/>
        </w:rPr>
        <w:t xml:space="preserve">when </w:t>
      </w:r>
      <w:r w:rsidR="001B1CDA">
        <w:rPr>
          <w:sz w:val="20"/>
        </w:rPr>
        <w:t>moving to a new dispatch target. T</w:t>
      </w:r>
      <w:r w:rsidR="00A76BE2">
        <w:rPr>
          <w:sz w:val="20"/>
        </w:rPr>
        <w:t xml:space="preserve">hese ramp rate limits can be implemented through NEMDE in the dispatch process. </w:t>
      </w:r>
      <w:r w:rsidR="003F5BCF">
        <w:rPr>
          <w:sz w:val="20"/>
        </w:rPr>
        <w:t xml:space="preserve">Such ramp rate limits </w:t>
      </w:r>
      <w:r w:rsidR="00A76BE2">
        <w:rPr>
          <w:sz w:val="20"/>
        </w:rPr>
        <w:t xml:space="preserve">would not apply to </w:t>
      </w:r>
      <w:r w:rsidR="00E9206F">
        <w:rPr>
          <w:sz w:val="20"/>
        </w:rPr>
        <w:t xml:space="preserve">the </w:t>
      </w:r>
      <w:r w:rsidR="00A76BE2">
        <w:rPr>
          <w:sz w:val="20"/>
        </w:rPr>
        <w:t>provision of contingency FCAS or NLCAS</w:t>
      </w:r>
      <w:r w:rsidR="003F5BCF">
        <w:rPr>
          <w:sz w:val="20"/>
        </w:rPr>
        <w:t xml:space="preserve">, where a </w:t>
      </w:r>
      <w:r w:rsidR="00AC2F78">
        <w:rPr>
          <w:sz w:val="20"/>
        </w:rPr>
        <w:t xml:space="preserve">more </w:t>
      </w:r>
      <w:r w:rsidR="003F5BCF">
        <w:rPr>
          <w:sz w:val="20"/>
        </w:rPr>
        <w:t xml:space="preserve">rapid response </w:t>
      </w:r>
      <w:r w:rsidR="00AC2F78">
        <w:rPr>
          <w:sz w:val="20"/>
        </w:rPr>
        <w:t>can</w:t>
      </w:r>
      <w:r w:rsidR="003F5BCF">
        <w:rPr>
          <w:sz w:val="20"/>
        </w:rPr>
        <w:t xml:space="preserve"> be of value to the power system</w:t>
      </w:r>
      <w:r w:rsidR="00A76BE2">
        <w:rPr>
          <w:sz w:val="20"/>
        </w:rPr>
        <w:t xml:space="preserve">. </w:t>
      </w:r>
    </w:p>
    <w:p w14:paraId="396A9F61" w14:textId="77777777" w:rsidR="00A76BE2" w:rsidRDefault="00A76BE2" w:rsidP="00B41F9C">
      <w:pPr>
        <w:pStyle w:val="BodyText"/>
        <w:rPr>
          <w:sz w:val="20"/>
        </w:rPr>
      </w:pPr>
    </w:p>
    <w:p w14:paraId="4707FF8E" w14:textId="615CB725" w:rsidR="0080393B" w:rsidRDefault="0080393B" w:rsidP="00B41F9C">
      <w:pPr>
        <w:pStyle w:val="BodyText"/>
        <w:rPr>
          <w:b/>
        </w:rPr>
      </w:pPr>
      <w:r>
        <w:rPr>
          <w:b/>
        </w:rPr>
        <w:t>ANCILLARY SERVICES</w:t>
      </w:r>
    </w:p>
    <w:p w14:paraId="48D4BCD1" w14:textId="6934F930" w:rsidR="00486647" w:rsidRDefault="00486647" w:rsidP="00B41F9C">
      <w:pPr>
        <w:pStyle w:val="BodyText"/>
        <w:rPr>
          <w:b/>
          <w:sz w:val="20"/>
        </w:rPr>
      </w:pPr>
      <w:r>
        <w:rPr>
          <w:b/>
          <w:sz w:val="20"/>
        </w:rPr>
        <w:t>What do I need to do to be able to provide ancillary services using my battery?</w:t>
      </w:r>
    </w:p>
    <w:p w14:paraId="680A2B88" w14:textId="30489F26" w:rsidR="00486647" w:rsidRDefault="00486647" w:rsidP="00B41F9C">
      <w:pPr>
        <w:pStyle w:val="BodyText"/>
        <w:rPr>
          <w:sz w:val="20"/>
        </w:rPr>
      </w:pPr>
      <w:r>
        <w:rPr>
          <w:sz w:val="20"/>
        </w:rPr>
        <w:t>The provision of market ancillary services depends on whether you can demonstrate compliance with the Market Ancillary Service Specification.</w:t>
      </w:r>
    </w:p>
    <w:p w14:paraId="79F68C46" w14:textId="77777777" w:rsidR="001B1CDA" w:rsidRPr="00486647" w:rsidRDefault="001B1CDA" w:rsidP="00B41F9C">
      <w:pPr>
        <w:pStyle w:val="BodyText"/>
        <w:rPr>
          <w:sz w:val="20"/>
        </w:rPr>
      </w:pPr>
    </w:p>
    <w:p w14:paraId="69A2B880" w14:textId="7DA71586" w:rsidR="00233EB0" w:rsidRPr="00233EB0" w:rsidRDefault="00233EB0" w:rsidP="00B41F9C">
      <w:pPr>
        <w:pStyle w:val="BodyText"/>
        <w:rPr>
          <w:b/>
          <w:sz w:val="20"/>
        </w:rPr>
      </w:pPr>
      <w:r w:rsidRPr="00233EB0">
        <w:rPr>
          <w:b/>
          <w:sz w:val="20"/>
        </w:rPr>
        <w:t>Would testing for FCAS, F</w:t>
      </w:r>
      <w:r w:rsidR="00A76BE2">
        <w:rPr>
          <w:b/>
          <w:sz w:val="20"/>
        </w:rPr>
        <w:t xml:space="preserve">ast </w:t>
      </w:r>
      <w:r w:rsidRPr="00233EB0">
        <w:rPr>
          <w:b/>
          <w:sz w:val="20"/>
        </w:rPr>
        <w:t>F</w:t>
      </w:r>
      <w:r w:rsidR="00A76BE2">
        <w:rPr>
          <w:b/>
          <w:sz w:val="20"/>
        </w:rPr>
        <w:t xml:space="preserve">requency </w:t>
      </w:r>
      <w:r w:rsidRPr="00233EB0">
        <w:rPr>
          <w:b/>
          <w:sz w:val="20"/>
        </w:rPr>
        <w:t>R</w:t>
      </w:r>
      <w:r w:rsidR="00A76BE2">
        <w:rPr>
          <w:b/>
          <w:sz w:val="20"/>
        </w:rPr>
        <w:t>esponse</w:t>
      </w:r>
      <w:r w:rsidRPr="00233EB0">
        <w:rPr>
          <w:b/>
          <w:sz w:val="20"/>
        </w:rPr>
        <w:t xml:space="preserve"> etc</w:t>
      </w:r>
      <w:r w:rsidR="00A76BE2">
        <w:rPr>
          <w:b/>
          <w:sz w:val="20"/>
        </w:rPr>
        <w:t>.</w:t>
      </w:r>
      <w:r w:rsidRPr="00233EB0">
        <w:rPr>
          <w:b/>
          <w:sz w:val="20"/>
        </w:rPr>
        <w:t xml:space="preserve"> be similar to conventional generation?</w:t>
      </w:r>
    </w:p>
    <w:p w14:paraId="1C05EA78" w14:textId="07781F17" w:rsidR="00A13736" w:rsidRDefault="005170BE" w:rsidP="00B56052">
      <w:pPr>
        <w:pStyle w:val="Default"/>
        <w:rPr>
          <w:rFonts w:asciiTheme="minorHAnsi" w:hAnsiTheme="minorHAnsi" w:cstheme="minorHAnsi"/>
          <w:sz w:val="20"/>
        </w:rPr>
      </w:pPr>
      <w:r w:rsidRPr="00B56052">
        <w:rPr>
          <w:rFonts w:asciiTheme="minorHAnsi" w:hAnsiTheme="minorHAnsi" w:cstheme="minorHAnsi"/>
          <w:sz w:val="20"/>
        </w:rPr>
        <w:t>The</w:t>
      </w:r>
      <w:r w:rsidRPr="00B56052">
        <w:rPr>
          <w:rFonts w:asciiTheme="minorHAnsi" w:hAnsiTheme="minorHAnsi" w:cstheme="minorHAnsi"/>
          <w:b/>
          <w:sz w:val="20"/>
        </w:rPr>
        <w:t xml:space="preserve"> </w:t>
      </w:r>
      <w:r w:rsidRPr="00B56052">
        <w:rPr>
          <w:rFonts w:asciiTheme="minorHAnsi" w:hAnsiTheme="minorHAnsi" w:cstheme="minorHAnsi"/>
          <w:sz w:val="20"/>
        </w:rPr>
        <w:t xml:space="preserve">Market Ancillary Service Specification describes a process for testing the response of generating systems for the existing 8 FCAS markets. There is currently no formal market structure for </w:t>
      </w:r>
      <w:r w:rsidR="00FD4B46" w:rsidRPr="00B56052">
        <w:rPr>
          <w:rFonts w:asciiTheme="minorHAnsi" w:hAnsiTheme="minorHAnsi" w:cstheme="minorHAnsi"/>
          <w:sz w:val="20"/>
        </w:rPr>
        <w:t>‘</w:t>
      </w:r>
      <w:r w:rsidRPr="00B56052">
        <w:rPr>
          <w:rFonts w:asciiTheme="minorHAnsi" w:hAnsiTheme="minorHAnsi" w:cstheme="minorHAnsi"/>
          <w:sz w:val="20"/>
        </w:rPr>
        <w:t>Fast Frequency Response</w:t>
      </w:r>
      <w:r w:rsidR="00FD4B46" w:rsidRPr="00B56052">
        <w:rPr>
          <w:rFonts w:asciiTheme="minorHAnsi" w:hAnsiTheme="minorHAnsi" w:cstheme="minorHAnsi"/>
          <w:sz w:val="20"/>
        </w:rPr>
        <w:t>’</w:t>
      </w:r>
      <w:r w:rsidRPr="00B56052">
        <w:rPr>
          <w:rFonts w:asciiTheme="minorHAnsi" w:hAnsiTheme="minorHAnsi" w:cstheme="minorHAnsi"/>
          <w:sz w:val="20"/>
        </w:rPr>
        <w:t xml:space="preserve"> </w:t>
      </w:r>
      <w:r w:rsidR="00FD4B46" w:rsidRPr="00B56052">
        <w:rPr>
          <w:rFonts w:asciiTheme="minorHAnsi" w:hAnsiTheme="minorHAnsi" w:cstheme="minorHAnsi"/>
          <w:sz w:val="20"/>
        </w:rPr>
        <w:t>(FFR)</w:t>
      </w:r>
      <w:r w:rsidRPr="00B56052">
        <w:rPr>
          <w:rFonts w:asciiTheme="minorHAnsi" w:hAnsiTheme="minorHAnsi" w:cstheme="minorHAnsi"/>
          <w:sz w:val="20"/>
        </w:rPr>
        <w:t xml:space="preserve"> services, although the AEMC is set to release a draft determination on </w:t>
      </w:r>
      <w:r w:rsidR="0014284E" w:rsidRPr="00B56052">
        <w:rPr>
          <w:rFonts w:asciiTheme="minorHAnsi" w:hAnsiTheme="minorHAnsi" w:cstheme="minorHAnsi"/>
          <w:sz w:val="20"/>
        </w:rPr>
        <w:t>7</w:t>
      </w:r>
      <w:r w:rsidRPr="00B56052">
        <w:rPr>
          <w:rFonts w:asciiTheme="minorHAnsi" w:hAnsiTheme="minorHAnsi" w:cstheme="minorHAnsi"/>
          <w:sz w:val="20"/>
        </w:rPr>
        <w:t xml:space="preserve"> </w:t>
      </w:r>
      <w:r w:rsidR="0014284E" w:rsidRPr="00B56052">
        <w:rPr>
          <w:rFonts w:asciiTheme="minorHAnsi" w:hAnsiTheme="minorHAnsi" w:cstheme="minorHAnsi"/>
          <w:sz w:val="20"/>
        </w:rPr>
        <w:t>November</w:t>
      </w:r>
      <w:r w:rsidRPr="00B56052">
        <w:rPr>
          <w:rFonts w:asciiTheme="minorHAnsi" w:hAnsiTheme="minorHAnsi" w:cstheme="minorHAnsi"/>
          <w:sz w:val="20"/>
        </w:rPr>
        <w:t xml:space="preserve"> 2017 on </w:t>
      </w:r>
      <w:r w:rsidR="00A13736">
        <w:rPr>
          <w:rFonts w:asciiTheme="minorHAnsi" w:hAnsiTheme="minorHAnsi" w:cstheme="minorHAnsi"/>
          <w:sz w:val="20"/>
        </w:rPr>
        <w:t>the Inertia Ancillary Services Market Rule</w:t>
      </w:r>
      <w:r w:rsidRPr="00B56052">
        <w:rPr>
          <w:rFonts w:asciiTheme="minorHAnsi" w:hAnsiTheme="minorHAnsi" w:cstheme="minorHAnsi"/>
          <w:sz w:val="20"/>
        </w:rPr>
        <w:t xml:space="preserve">. </w:t>
      </w:r>
    </w:p>
    <w:p w14:paraId="7B364708" w14:textId="193AE91E" w:rsidR="00A13736" w:rsidRPr="00A13736" w:rsidRDefault="00A13736" w:rsidP="00B56052">
      <w:pPr>
        <w:pStyle w:val="Default"/>
        <w:rPr>
          <w:rFonts w:asciiTheme="minorHAnsi" w:hAnsiTheme="minorHAnsi" w:cstheme="minorHAnsi"/>
          <w:sz w:val="20"/>
        </w:rPr>
      </w:pPr>
      <w:r w:rsidRPr="00A13736">
        <w:rPr>
          <w:rFonts w:asciiTheme="minorHAnsi" w:hAnsiTheme="minorHAnsi" w:cstheme="minorHAnsi"/>
          <w:sz w:val="20"/>
        </w:rPr>
        <w:t xml:space="preserve">New arrangements for inertia markets </w:t>
      </w:r>
      <w:r>
        <w:rPr>
          <w:rFonts w:asciiTheme="minorHAnsi" w:hAnsiTheme="minorHAnsi" w:cstheme="minorHAnsi"/>
          <w:sz w:val="20"/>
        </w:rPr>
        <w:t>under consideration</w:t>
      </w:r>
      <w:r w:rsidRPr="00A13736">
        <w:rPr>
          <w:rFonts w:asciiTheme="minorHAnsi" w:hAnsiTheme="minorHAnsi" w:cstheme="minorHAnsi"/>
          <w:sz w:val="20"/>
        </w:rPr>
        <w:t xml:space="preserve"> by the AEMC </w:t>
      </w:r>
      <w:r>
        <w:rPr>
          <w:rFonts w:asciiTheme="minorHAnsi" w:hAnsiTheme="minorHAnsi" w:cstheme="minorHAnsi"/>
          <w:sz w:val="20"/>
        </w:rPr>
        <w:t>include a</w:t>
      </w:r>
      <w:r w:rsidRPr="00A13736">
        <w:rPr>
          <w:rFonts w:asciiTheme="minorHAnsi" w:hAnsiTheme="minorHAnsi" w:cstheme="minorHAnsi"/>
          <w:sz w:val="20"/>
        </w:rPr>
        <w:t xml:space="preserve"> potential </w:t>
      </w:r>
      <w:r>
        <w:rPr>
          <w:rFonts w:asciiTheme="minorHAnsi" w:hAnsiTheme="minorHAnsi" w:cstheme="minorHAnsi"/>
          <w:sz w:val="20"/>
        </w:rPr>
        <w:t xml:space="preserve">mechanism </w:t>
      </w:r>
      <w:r w:rsidRPr="00A13736">
        <w:rPr>
          <w:rFonts w:asciiTheme="minorHAnsi" w:hAnsiTheme="minorHAnsi" w:cstheme="minorHAnsi"/>
          <w:sz w:val="20"/>
        </w:rPr>
        <w:t xml:space="preserve">for NSPs to contract FFR services to act as a substitute for inertia where AEMO and the NSP agree that this approach will meet system security obligations. AEMO expects that there will be opportunities to undertake proof-of-concept testing of FFR type services over the medium term to inform new market arrangements. The objective of this proof-of-concept testing will be identify suitable technical parameters and market features for </w:t>
      </w:r>
      <w:r>
        <w:rPr>
          <w:rFonts w:asciiTheme="minorHAnsi" w:hAnsiTheme="minorHAnsi" w:cstheme="minorHAnsi"/>
          <w:sz w:val="20"/>
        </w:rPr>
        <w:t xml:space="preserve">a </w:t>
      </w:r>
      <w:r w:rsidRPr="00A13736">
        <w:rPr>
          <w:rFonts w:asciiTheme="minorHAnsi" w:hAnsiTheme="minorHAnsi" w:cstheme="minorHAnsi"/>
          <w:sz w:val="20"/>
        </w:rPr>
        <w:t>FFR specification(s) that could be applied more broadly in the NEM.</w:t>
      </w:r>
    </w:p>
    <w:p w14:paraId="567FF7BD" w14:textId="40701B51" w:rsidR="00B56052" w:rsidRDefault="005170BE" w:rsidP="00B56052">
      <w:pPr>
        <w:pStyle w:val="Default"/>
        <w:rPr>
          <w:rFonts w:ascii="Arial" w:hAnsi="Arial" w:cs="Arial"/>
          <w:sz w:val="20"/>
          <w:szCs w:val="22"/>
        </w:rPr>
      </w:pPr>
      <w:r w:rsidRPr="00B56052">
        <w:rPr>
          <w:rFonts w:asciiTheme="minorHAnsi" w:hAnsiTheme="minorHAnsi" w:cstheme="minorHAnsi"/>
          <w:sz w:val="20"/>
        </w:rPr>
        <w:t>The</w:t>
      </w:r>
      <w:r w:rsidR="00A13736">
        <w:rPr>
          <w:rFonts w:asciiTheme="minorHAnsi" w:hAnsiTheme="minorHAnsi" w:cstheme="minorHAnsi"/>
          <w:sz w:val="20"/>
        </w:rPr>
        <w:t xml:space="preserve">se issues will be considered more holistically as a part or a review of the framework for frequency control. The </w:t>
      </w:r>
      <w:r w:rsidR="00EE0E2A" w:rsidRPr="00B56052">
        <w:rPr>
          <w:rFonts w:asciiTheme="minorHAnsi" w:hAnsiTheme="minorHAnsi" w:cstheme="minorHAnsi"/>
          <w:sz w:val="20"/>
        </w:rPr>
        <w:t xml:space="preserve">Terms of Reference for AEMC’s Frequency Control Frameworks Review </w:t>
      </w:r>
      <w:r w:rsidRPr="00B56052">
        <w:rPr>
          <w:rFonts w:asciiTheme="minorHAnsi" w:hAnsiTheme="minorHAnsi" w:cstheme="minorHAnsi"/>
          <w:sz w:val="20"/>
        </w:rPr>
        <w:t xml:space="preserve">published on </w:t>
      </w:r>
      <w:r w:rsidR="00EE0E2A" w:rsidRPr="00B56052">
        <w:rPr>
          <w:rFonts w:asciiTheme="minorHAnsi" w:hAnsiTheme="minorHAnsi" w:cstheme="minorHAnsi"/>
          <w:sz w:val="20"/>
        </w:rPr>
        <w:t xml:space="preserve">7 July </w:t>
      </w:r>
      <w:r w:rsidRPr="00B56052">
        <w:rPr>
          <w:rFonts w:asciiTheme="minorHAnsi" w:hAnsiTheme="minorHAnsi" w:cstheme="minorHAnsi"/>
          <w:sz w:val="20"/>
        </w:rPr>
        <w:t>2017</w:t>
      </w:r>
      <w:r w:rsidR="00EE0E2A" w:rsidRPr="00B56052">
        <w:rPr>
          <w:rStyle w:val="FootnoteReference"/>
          <w:rFonts w:asciiTheme="minorHAnsi" w:hAnsiTheme="minorHAnsi" w:cstheme="minorHAnsi"/>
          <w:sz w:val="20"/>
        </w:rPr>
        <w:footnoteReference w:id="14"/>
      </w:r>
      <w:r>
        <w:rPr>
          <w:sz w:val="20"/>
        </w:rPr>
        <w:t xml:space="preserve"> i</w:t>
      </w:r>
      <w:r w:rsidR="00B56052">
        <w:rPr>
          <w:rFonts w:ascii="Arial" w:hAnsi="Arial" w:cs="Arial"/>
          <w:sz w:val="20"/>
        </w:rPr>
        <w:t>ndicate that the recommendations of the Review</w:t>
      </w:r>
      <w:r w:rsidR="00B56052" w:rsidRPr="002D69FE">
        <w:rPr>
          <w:rFonts w:ascii="Arial" w:hAnsi="Arial" w:cs="Arial"/>
          <w:sz w:val="20"/>
        </w:rPr>
        <w:t xml:space="preserve"> </w:t>
      </w:r>
      <w:r w:rsidR="00B56052" w:rsidRPr="002D69FE">
        <w:rPr>
          <w:rFonts w:ascii="Arial" w:hAnsi="Arial" w:cs="Arial"/>
          <w:sz w:val="20"/>
          <w:szCs w:val="22"/>
        </w:rPr>
        <w:t xml:space="preserve">may include proposed revisions to technical standards, refinements to existing </w:t>
      </w:r>
      <w:r w:rsidR="00B56052">
        <w:rPr>
          <w:rFonts w:ascii="Arial" w:hAnsi="Arial" w:cs="Arial"/>
          <w:sz w:val="20"/>
        </w:rPr>
        <w:t>FCAS</w:t>
      </w:r>
      <w:r w:rsidR="00B56052" w:rsidRPr="002D69FE">
        <w:rPr>
          <w:rFonts w:ascii="Arial" w:hAnsi="Arial" w:cs="Arial"/>
          <w:sz w:val="20"/>
          <w:szCs w:val="22"/>
        </w:rPr>
        <w:t xml:space="preserve"> markets, the establishment of new markets or other changes to the regulatory and market framework</w:t>
      </w:r>
      <w:r w:rsidR="00B56052">
        <w:rPr>
          <w:rFonts w:ascii="Arial" w:hAnsi="Arial" w:cs="Arial"/>
          <w:sz w:val="20"/>
          <w:szCs w:val="22"/>
        </w:rPr>
        <w:t xml:space="preserve">. </w:t>
      </w:r>
      <w:r w:rsidR="000474AB">
        <w:rPr>
          <w:rFonts w:ascii="Arial" w:hAnsi="Arial" w:cs="Arial"/>
          <w:sz w:val="20"/>
          <w:szCs w:val="22"/>
        </w:rPr>
        <w:t xml:space="preserve">The </w:t>
      </w:r>
      <w:r w:rsidR="00A13736">
        <w:rPr>
          <w:rFonts w:ascii="Arial" w:hAnsi="Arial" w:cs="Arial"/>
          <w:sz w:val="20"/>
          <w:szCs w:val="22"/>
        </w:rPr>
        <w:t xml:space="preserve">broader set of </w:t>
      </w:r>
      <w:r w:rsidR="000474AB">
        <w:rPr>
          <w:rFonts w:ascii="Arial" w:hAnsi="Arial" w:cs="Arial"/>
          <w:sz w:val="20"/>
          <w:szCs w:val="22"/>
        </w:rPr>
        <w:t>issue</w:t>
      </w:r>
      <w:r w:rsidR="00A13736">
        <w:rPr>
          <w:rFonts w:ascii="Arial" w:hAnsi="Arial" w:cs="Arial"/>
          <w:sz w:val="20"/>
          <w:szCs w:val="22"/>
        </w:rPr>
        <w:t xml:space="preserve">s relating to </w:t>
      </w:r>
      <w:r w:rsidR="000474AB">
        <w:rPr>
          <w:rFonts w:ascii="Arial" w:hAnsi="Arial" w:cs="Arial"/>
          <w:sz w:val="20"/>
          <w:szCs w:val="22"/>
        </w:rPr>
        <w:t xml:space="preserve">how </w:t>
      </w:r>
      <w:r w:rsidR="00A13736">
        <w:rPr>
          <w:rFonts w:ascii="Arial" w:hAnsi="Arial" w:cs="Arial"/>
          <w:sz w:val="20"/>
          <w:szCs w:val="22"/>
        </w:rPr>
        <w:t xml:space="preserve">FFR should be </w:t>
      </w:r>
      <w:r w:rsidR="000474AB">
        <w:rPr>
          <w:rFonts w:ascii="Arial" w:hAnsi="Arial" w:cs="Arial"/>
          <w:sz w:val="20"/>
          <w:szCs w:val="22"/>
        </w:rPr>
        <w:t>include</w:t>
      </w:r>
      <w:r w:rsidR="00A13736">
        <w:rPr>
          <w:rFonts w:ascii="Arial" w:hAnsi="Arial" w:cs="Arial"/>
          <w:sz w:val="20"/>
          <w:szCs w:val="22"/>
        </w:rPr>
        <w:t>d</w:t>
      </w:r>
      <w:r w:rsidR="000474AB">
        <w:rPr>
          <w:rFonts w:ascii="Arial" w:hAnsi="Arial" w:cs="Arial"/>
          <w:sz w:val="20"/>
          <w:szCs w:val="22"/>
        </w:rPr>
        <w:t xml:space="preserve"> </w:t>
      </w:r>
      <w:r w:rsidR="00A13736">
        <w:rPr>
          <w:rFonts w:ascii="Arial" w:hAnsi="Arial" w:cs="Arial"/>
          <w:sz w:val="20"/>
          <w:szCs w:val="22"/>
        </w:rPr>
        <w:t xml:space="preserve">in </w:t>
      </w:r>
      <w:r w:rsidR="000474AB">
        <w:rPr>
          <w:rFonts w:ascii="Arial" w:hAnsi="Arial" w:cs="Arial"/>
          <w:sz w:val="20"/>
          <w:szCs w:val="22"/>
        </w:rPr>
        <w:t xml:space="preserve">existing or new market arrangements </w:t>
      </w:r>
      <w:r w:rsidR="00B56052">
        <w:rPr>
          <w:rFonts w:ascii="Arial" w:hAnsi="Arial" w:cs="Arial"/>
          <w:sz w:val="20"/>
          <w:szCs w:val="22"/>
        </w:rPr>
        <w:t xml:space="preserve">will be </w:t>
      </w:r>
      <w:r w:rsidR="000474AB">
        <w:rPr>
          <w:rFonts w:ascii="Arial" w:hAnsi="Arial" w:cs="Arial"/>
          <w:sz w:val="20"/>
          <w:szCs w:val="22"/>
        </w:rPr>
        <w:t>considered</w:t>
      </w:r>
      <w:r w:rsidR="00B56052">
        <w:rPr>
          <w:rFonts w:ascii="Arial" w:hAnsi="Arial" w:cs="Arial"/>
          <w:sz w:val="20"/>
          <w:szCs w:val="22"/>
        </w:rPr>
        <w:t xml:space="preserve"> </w:t>
      </w:r>
      <w:r w:rsidR="000474AB">
        <w:rPr>
          <w:rFonts w:ascii="Arial" w:hAnsi="Arial" w:cs="Arial"/>
          <w:sz w:val="20"/>
          <w:szCs w:val="22"/>
        </w:rPr>
        <w:t xml:space="preserve">by AEMC in this </w:t>
      </w:r>
      <w:r w:rsidR="000474AB">
        <w:rPr>
          <w:rFonts w:ascii="Arial" w:hAnsi="Arial" w:cs="Arial"/>
          <w:sz w:val="20"/>
          <w:szCs w:val="22"/>
        </w:rPr>
        <w:lastRenderedPageBreak/>
        <w:t>Review. AEMO will be collaborating with the AEMC to inform the findings of the Review and will channel input from the Ancillary Services Technical Advisory Group</w:t>
      </w:r>
      <w:r w:rsidR="000474AB">
        <w:rPr>
          <w:rStyle w:val="FootnoteReference"/>
          <w:rFonts w:ascii="Arial" w:hAnsi="Arial" w:cs="Arial"/>
          <w:sz w:val="20"/>
          <w:szCs w:val="22"/>
        </w:rPr>
        <w:footnoteReference w:id="15"/>
      </w:r>
      <w:r w:rsidR="000474AB">
        <w:rPr>
          <w:rFonts w:ascii="Arial" w:hAnsi="Arial" w:cs="Arial"/>
          <w:sz w:val="20"/>
          <w:szCs w:val="22"/>
        </w:rPr>
        <w:t xml:space="preserve"> to support thorough assessment of potential new arrangements.  </w:t>
      </w:r>
    </w:p>
    <w:p w14:paraId="3CB86A30" w14:textId="3F9CEB63" w:rsidR="00CA64FB" w:rsidRDefault="00CA64FB" w:rsidP="00B41F9C">
      <w:pPr>
        <w:pStyle w:val="BodyText"/>
        <w:rPr>
          <w:sz w:val="20"/>
        </w:rPr>
      </w:pPr>
      <w:r>
        <w:rPr>
          <w:sz w:val="20"/>
        </w:rPr>
        <w:t xml:space="preserve">See the AEMC’s website for further information at:  </w:t>
      </w:r>
    </w:p>
    <w:p w14:paraId="0FF4FB51" w14:textId="7B10EA4F" w:rsidR="00790F74" w:rsidRPr="00790F74" w:rsidRDefault="00220946" w:rsidP="00B41F9C">
      <w:pPr>
        <w:pStyle w:val="BodyText"/>
        <w:rPr>
          <w:sz w:val="20"/>
        </w:rPr>
      </w:pPr>
      <w:hyperlink r:id="rId19" w:history="1">
        <w:r w:rsidR="00A13736" w:rsidRPr="002D6D3F">
          <w:rPr>
            <w:rStyle w:val="Hyperlink"/>
            <w:sz w:val="20"/>
          </w:rPr>
          <w:t>http://www.aemc.gov.au/Markets-Reviews-Advice/Frequency-control-frameworks-review</w:t>
        </w:r>
      </w:hyperlink>
      <w:r w:rsidR="00A13736">
        <w:rPr>
          <w:sz w:val="20"/>
        </w:rPr>
        <w:t xml:space="preserve"> </w:t>
      </w:r>
    </w:p>
    <w:p w14:paraId="2BE695DB" w14:textId="77777777" w:rsidR="001B1CDA" w:rsidRDefault="001B1CDA" w:rsidP="00B41F9C">
      <w:pPr>
        <w:pStyle w:val="BodyText"/>
        <w:rPr>
          <w:b/>
        </w:rPr>
      </w:pPr>
    </w:p>
    <w:p w14:paraId="0418976E" w14:textId="5D8149D0" w:rsidR="00EB1D02" w:rsidRDefault="00780116" w:rsidP="00B41F9C">
      <w:pPr>
        <w:pStyle w:val="BodyText"/>
        <w:rPr>
          <w:b/>
        </w:rPr>
      </w:pPr>
      <w:r w:rsidRPr="00780116">
        <w:rPr>
          <w:b/>
        </w:rPr>
        <w:t>TRANSMISSION</w:t>
      </w:r>
      <w:r>
        <w:rPr>
          <w:b/>
        </w:rPr>
        <w:t>/DISTRIBUTION</w:t>
      </w:r>
      <w:r w:rsidRPr="00780116">
        <w:rPr>
          <w:b/>
        </w:rPr>
        <w:t xml:space="preserve"> USE OF SYSTEM CHARGES</w:t>
      </w:r>
    </w:p>
    <w:p w14:paraId="4E0CF82A" w14:textId="108A11C8" w:rsidR="00780116" w:rsidRPr="00780116" w:rsidRDefault="00780116" w:rsidP="00B41F9C">
      <w:pPr>
        <w:pStyle w:val="BodyText"/>
        <w:rPr>
          <w:b/>
          <w:sz w:val="20"/>
        </w:rPr>
      </w:pPr>
      <w:r w:rsidRPr="00780116">
        <w:rPr>
          <w:b/>
          <w:sz w:val="20"/>
        </w:rPr>
        <w:t>How will TU</w:t>
      </w:r>
      <w:r w:rsidR="00556AB6">
        <w:rPr>
          <w:b/>
          <w:sz w:val="20"/>
        </w:rPr>
        <w:t>O</w:t>
      </w:r>
      <w:r w:rsidRPr="00780116">
        <w:rPr>
          <w:b/>
          <w:sz w:val="20"/>
        </w:rPr>
        <w:t>S</w:t>
      </w:r>
      <w:r>
        <w:rPr>
          <w:b/>
          <w:sz w:val="20"/>
        </w:rPr>
        <w:t>/</w:t>
      </w:r>
      <w:r w:rsidR="00556AB6">
        <w:rPr>
          <w:b/>
          <w:sz w:val="20"/>
        </w:rPr>
        <w:t>DUOS</w:t>
      </w:r>
      <w:r w:rsidR="00556AB6" w:rsidRPr="00780116">
        <w:rPr>
          <w:b/>
          <w:sz w:val="20"/>
        </w:rPr>
        <w:t xml:space="preserve"> </w:t>
      </w:r>
      <w:r w:rsidRPr="00780116">
        <w:rPr>
          <w:b/>
          <w:sz w:val="20"/>
        </w:rPr>
        <w:t>be charged?</w:t>
      </w:r>
    </w:p>
    <w:p w14:paraId="1E4E0D21" w14:textId="14D6CEFF" w:rsidR="00780116" w:rsidRDefault="00780116" w:rsidP="00B41F9C">
      <w:pPr>
        <w:pStyle w:val="BodyText"/>
        <w:rPr>
          <w:sz w:val="20"/>
        </w:rPr>
      </w:pPr>
      <w:r>
        <w:rPr>
          <w:sz w:val="20"/>
        </w:rPr>
        <w:t>This is a matter that should be referred to the TNSP/DNSP who owns the network to which the applicant is proposing to connect its battery.</w:t>
      </w:r>
    </w:p>
    <w:p w14:paraId="1D424675" w14:textId="510C8DB2" w:rsidR="001B1CDA" w:rsidRDefault="00780116" w:rsidP="00B41F9C">
      <w:pPr>
        <w:pStyle w:val="BodyText"/>
        <w:rPr>
          <w:sz w:val="20"/>
        </w:rPr>
      </w:pPr>
      <w:r>
        <w:rPr>
          <w:sz w:val="20"/>
        </w:rPr>
        <w:t>In Victoria, applications for connection to the transmission network are directed to AEMO</w:t>
      </w:r>
      <w:r w:rsidR="002B6396">
        <w:rPr>
          <w:sz w:val="20"/>
        </w:rPr>
        <w:t xml:space="preserve">. </w:t>
      </w:r>
      <w:r w:rsidR="006763E9" w:rsidRPr="006763E9">
        <w:rPr>
          <w:sz w:val="20"/>
        </w:rPr>
        <w:t xml:space="preserve"> </w:t>
      </w:r>
      <w:r w:rsidR="002B6396">
        <w:rPr>
          <w:sz w:val="20"/>
        </w:rPr>
        <w:t>I</w:t>
      </w:r>
      <w:r w:rsidR="006763E9" w:rsidRPr="006763E9">
        <w:rPr>
          <w:sz w:val="20"/>
        </w:rPr>
        <w:t xml:space="preserve">n the absence of a clear regulatory framework, </w:t>
      </w:r>
      <w:r w:rsidR="002B6396">
        <w:rPr>
          <w:sz w:val="20"/>
        </w:rPr>
        <w:t xml:space="preserve">in the exercise of its Victorian Transmission function, AEMO is </w:t>
      </w:r>
      <w:r w:rsidR="006763E9" w:rsidRPr="006763E9">
        <w:rPr>
          <w:sz w:val="20"/>
        </w:rPr>
        <w:t xml:space="preserve">liaising with the AER to establish an appropriate way forward. </w:t>
      </w:r>
    </w:p>
    <w:p w14:paraId="7E425421" w14:textId="77777777" w:rsidR="00C66177" w:rsidRDefault="00C66177" w:rsidP="00B41F9C">
      <w:pPr>
        <w:pStyle w:val="BodyText"/>
        <w:rPr>
          <w:b/>
        </w:rPr>
      </w:pPr>
    </w:p>
    <w:p w14:paraId="10C082BB" w14:textId="2A22299E" w:rsidR="0030444A" w:rsidRPr="00A35321" w:rsidRDefault="00A35321" w:rsidP="00B41F9C">
      <w:pPr>
        <w:pStyle w:val="BodyText"/>
        <w:rPr>
          <w:b/>
        </w:rPr>
      </w:pPr>
      <w:r w:rsidRPr="00A35321">
        <w:rPr>
          <w:b/>
        </w:rPr>
        <w:t xml:space="preserve">PARTICIPANT </w:t>
      </w:r>
      <w:r w:rsidR="007A0AF5">
        <w:rPr>
          <w:b/>
        </w:rPr>
        <w:t>and REGISTRATION</w:t>
      </w:r>
      <w:r w:rsidRPr="00A35321">
        <w:rPr>
          <w:b/>
        </w:rPr>
        <w:t xml:space="preserve"> FEES</w:t>
      </w:r>
    </w:p>
    <w:p w14:paraId="4EC9FE89" w14:textId="4F2008C8" w:rsidR="00A35321" w:rsidRDefault="00A35321" w:rsidP="00B41F9C">
      <w:pPr>
        <w:pStyle w:val="BodyText"/>
        <w:rPr>
          <w:b/>
          <w:sz w:val="20"/>
        </w:rPr>
      </w:pPr>
      <w:r w:rsidRPr="00A35321">
        <w:rPr>
          <w:b/>
          <w:sz w:val="20"/>
        </w:rPr>
        <w:t xml:space="preserve">What kind of participant fees are payable by </w:t>
      </w:r>
      <w:r w:rsidR="007866FC">
        <w:rPr>
          <w:b/>
          <w:sz w:val="20"/>
        </w:rPr>
        <w:t>Registered Participants with</w:t>
      </w:r>
      <w:r w:rsidRPr="00A35321">
        <w:rPr>
          <w:b/>
          <w:sz w:val="20"/>
        </w:rPr>
        <w:t xml:space="preserve"> battery storage?</w:t>
      </w:r>
    </w:p>
    <w:p w14:paraId="4C52C87E" w14:textId="77777777" w:rsidR="006C07DE" w:rsidRDefault="009452E1" w:rsidP="00B41F9C">
      <w:pPr>
        <w:pStyle w:val="BodyText"/>
        <w:rPr>
          <w:sz w:val="20"/>
        </w:rPr>
      </w:pPr>
      <w:r>
        <w:rPr>
          <w:sz w:val="20"/>
        </w:rPr>
        <w:t>Different charges apply to Generators and Market Customers.  Interested parties should view AEMO’s current fee schedule on AEMO’s website</w:t>
      </w:r>
      <w:r w:rsidR="00CA64FB">
        <w:rPr>
          <w:sz w:val="20"/>
        </w:rPr>
        <w:t>, available at</w:t>
      </w:r>
      <w:r w:rsidR="006C07DE">
        <w:rPr>
          <w:sz w:val="20"/>
        </w:rPr>
        <w:t>:</w:t>
      </w:r>
      <w:r w:rsidR="00CA64FB">
        <w:rPr>
          <w:sz w:val="20"/>
        </w:rPr>
        <w:t xml:space="preserve"> </w:t>
      </w:r>
    </w:p>
    <w:p w14:paraId="4478113A" w14:textId="17904344" w:rsidR="00A35321" w:rsidRPr="009452E1" w:rsidRDefault="00220946" w:rsidP="00B41F9C">
      <w:pPr>
        <w:pStyle w:val="BodyText"/>
        <w:rPr>
          <w:sz w:val="20"/>
        </w:rPr>
      </w:pPr>
      <w:hyperlink r:id="rId20" w:history="1">
        <w:r w:rsidR="006C07DE" w:rsidRPr="00502489">
          <w:rPr>
            <w:rStyle w:val="Hyperlink"/>
            <w:sz w:val="20"/>
          </w:rPr>
          <w:t>http://www.aemo.com.au/Electricity/National-Electricity-Market-NEM/Participant-information/Fees-and-charges</w:t>
        </w:r>
      </w:hyperlink>
      <w:r w:rsidR="009452E1">
        <w:rPr>
          <w:sz w:val="20"/>
        </w:rPr>
        <w:t>.</w:t>
      </w:r>
      <w:r w:rsidR="006C07DE">
        <w:rPr>
          <w:sz w:val="20"/>
        </w:rPr>
        <w:t xml:space="preserve"> </w:t>
      </w:r>
    </w:p>
    <w:p w14:paraId="4D39C612" w14:textId="77777777" w:rsidR="00A35321" w:rsidRDefault="00A35321" w:rsidP="00B41F9C">
      <w:pPr>
        <w:pStyle w:val="BodyText"/>
        <w:rPr>
          <w:b/>
          <w:sz w:val="20"/>
        </w:rPr>
      </w:pPr>
    </w:p>
    <w:p w14:paraId="42C02527" w14:textId="58886F4C" w:rsidR="00A35321" w:rsidRDefault="00A35321" w:rsidP="00B41F9C">
      <w:pPr>
        <w:pStyle w:val="BodyText"/>
        <w:rPr>
          <w:b/>
          <w:sz w:val="20"/>
        </w:rPr>
      </w:pPr>
      <w:r>
        <w:rPr>
          <w:b/>
          <w:sz w:val="20"/>
        </w:rPr>
        <w:t>Where do I find details of participant fees on AEMO’s website?</w:t>
      </w:r>
    </w:p>
    <w:p w14:paraId="7E48C528" w14:textId="089C2777" w:rsidR="00A35321" w:rsidRDefault="00A35321" w:rsidP="00B41F9C">
      <w:pPr>
        <w:pStyle w:val="BodyText"/>
        <w:rPr>
          <w:sz w:val="20"/>
        </w:rPr>
      </w:pPr>
      <w:r>
        <w:rPr>
          <w:sz w:val="20"/>
        </w:rPr>
        <w:t xml:space="preserve">You can find it in the ‘About AEMO’ section. The </w:t>
      </w:r>
      <w:r w:rsidR="00233EB0">
        <w:rPr>
          <w:sz w:val="20"/>
        </w:rPr>
        <w:t>link is here:</w:t>
      </w:r>
    </w:p>
    <w:p w14:paraId="561AADBF" w14:textId="0B6F7AB9" w:rsidR="00A35321" w:rsidRPr="00A35321" w:rsidRDefault="00220946" w:rsidP="00B41F9C">
      <w:pPr>
        <w:pStyle w:val="BodyText"/>
        <w:rPr>
          <w:sz w:val="20"/>
        </w:rPr>
      </w:pPr>
      <w:hyperlink r:id="rId21" w:history="1">
        <w:r w:rsidR="00317A2E" w:rsidRPr="00A92CF8">
          <w:rPr>
            <w:rStyle w:val="Hyperlink"/>
            <w:sz w:val="20"/>
          </w:rPr>
          <w:t>http://www.aemo.com.au/About-AEMO/Energy-market-budget-and-fees</w:t>
        </w:r>
      </w:hyperlink>
      <w:r w:rsidR="00317A2E">
        <w:rPr>
          <w:sz w:val="20"/>
        </w:rPr>
        <w:t xml:space="preserve"> </w:t>
      </w:r>
    </w:p>
    <w:p w14:paraId="17A57917" w14:textId="259BEA4B" w:rsidR="00394016" w:rsidRPr="00730029" w:rsidRDefault="00394016" w:rsidP="00730029">
      <w:pPr>
        <w:tabs>
          <w:tab w:val="left" w:pos="2595"/>
        </w:tabs>
      </w:pPr>
    </w:p>
    <w:sectPr w:rsidR="00394016" w:rsidRPr="00730029" w:rsidSect="00730029">
      <w:footerReference w:type="default" r:id="rId22"/>
      <w:headerReference w:type="first" r:id="rId23"/>
      <w:footerReference w:type="first" r:id="rId24"/>
      <w:pgSz w:w="11906" w:h="16838" w:code="9"/>
      <w:pgMar w:top="1245" w:right="1418" w:bottom="1276" w:left="1418" w:header="964" w:footer="8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181CC" w14:textId="77777777" w:rsidR="00DC495D" w:rsidRDefault="00DC495D" w:rsidP="001E3981">
      <w:r>
        <w:separator/>
      </w:r>
    </w:p>
  </w:endnote>
  <w:endnote w:type="continuationSeparator" w:id="0">
    <w:p w14:paraId="070827C7" w14:textId="77777777" w:rsidR="00DC495D" w:rsidRDefault="00DC495D" w:rsidP="001E3981">
      <w:r>
        <w:continuationSeparator/>
      </w:r>
    </w:p>
  </w:endnote>
  <w:endnote w:type="continuationNotice" w:id="1">
    <w:p w14:paraId="6B13B82D" w14:textId="77777777" w:rsidR="00DC495D" w:rsidRDefault="00DC49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6057218"/>
      <w:docPartObj>
        <w:docPartGallery w:val="Page Numbers (Bottom of Page)"/>
        <w:docPartUnique/>
      </w:docPartObj>
    </w:sdtPr>
    <w:sdtEndPr>
      <w:rPr>
        <w:noProof/>
      </w:rPr>
    </w:sdtEndPr>
    <w:sdtContent>
      <w:p w14:paraId="71376D53" w14:textId="74C7F7DF" w:rsidR="001B1CDA" w:rsidRDefault="001B1CDA">
        <w:pPr>
          <w:pStyle w:val="Footer"/>
          <w:jc w:val="right"/>
        </w:pPr>
        <w:r>
          <w:fldChar w:fldCharType="begin"/>
        </w:r>
        <w:r>
          <w:instrText xml:space="preserve"> PAGE   \* MERGEFORMAT </w:instrText>
        </w:r>
        <w:r>
          <w:fldChar w:fldCharType="separate"/>
        </w:r>
        <w:r w:rsidR="00220946">
          <w:rPr>
            <w:noProof/>
          </w:rPr>
          <w:t>2</w:t>
        </w:r>
        <w:r>
          <w:rPr>
            <w:noProof/>
          </w:rPr>
          <w:fldChar w:fldCharType="end"/>
        </w:r>
      </w:p>
    </w:sdtContent>
  </w:sdt>
  <w:p w14:paraId="39C90E54" w14:textId="77777777" w:rsidR="001B1CDA" w:rsidRDefault="001B1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C7EE2" w14:textId="77777777" w:rsidR="006F446C" w:rsidRDefault="006F446C">
    <w:pPr>
      <w:pStyle w:val="Footer"/>
    </w:pPr>
    <w:r>
      <w:rPr>
        <w:noProof/>
      </w:rPr>
      <w:drawing>
        <wp:anchor distT="0" distB="0" distL="114300" distR="114300" simplePos="0" relativeHeight="251658242" behindDoc="0" locked="0" layoutInCell="1" allowOverlap="1" wp14:anchorId="7547DD1C" wp14:editId="60FA74DB">
          <wp:simplePos x="0" y="0"/>
          <wp:positionH relativeFrom="column">
            <wp:posOffset>4445</wp:posOffset>
          </wp:positionH>
          <wp:positionV relativeFrom="paragraph">
            <wp:posOffset>186690</wp:posOffset>
          </wp:positionV>
          <wp:extent cx="5759450" cy="36957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O footer_updated with WA.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695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2F4B0" w14:textId="77777777" w:rsidR="00DC495D" w:rsidRDefault="00DC495D" w:rsidP="001E3981">
      <w:r>
        <w:separator/>
      </w:r>
    </w:p>
  </w:footnote>
  <w:footnote w:type="continuationSeparator" w:id="0">
    <w:p w14:paraId="605FF74F" w14:textId="77777777" w:rsidR="00DC495D" w:rsidRDefault="00DC495D" w:rsidP="001E3981">
      <w:r>
        <w:continuationSeparator/>
      </w:r>
    </w:p>
  </w:footnote>
  <w:footnote w:type="continuationNotice" w:id="1">
    <w:p w14:paraId="6E45F843" w14:textId="77777777" w:rsidR="00DC495D" w:rsidRDefault="00DC495D"/>
  </w:footnote>
  <w:footnote w:id="2">
    <w:p w14:paraId="310B4DF6" w14:textId="3F9C139E" w:rsidR="00DD5502" w:rsidRDefault="00DD5502">
      <w:pPr>
        <w:pStyle w:val="FootnoteText"/>
      </w:pPr>
      <w:r w:rsidRPr="00D03093">
        <w:rPr>
          <w:rStyle w:val="FootnoteReference"/>
        </w:rPr>
        <w:footnoteRef/>
      </w:r>
      <w:r w:rsidR="00803A21" w:rsidRPr="00D03093">
        <w:rPr>
          <w:sz w:val="18"/>
          <w:szCs w:val="18"/>
        </w:rPr>
        <w:t xml:space="preserve">  </w:t>
      </w:r>
      <w:hyperlink r:id="rId1" w:history="1">
        <w:r w:rsidR="0032575B" w:rsidRPr="002D6D3F">
          <w:rPr>
            <w:rStyle w:val="Hyperlink"/>
            <w:sz w:val="18"/>
            <w:szCs w:val="18"/>
          </w:rPr>
          <w:t>http://www.aemo.com.au/Electricity/National-Electricity-Market-NEM/Participant-information/New-participants/Exemption-and-classification-guides</w:t>
        </w:r>
      </w:hyperlink>
      <w:r w:rsidR="0032575B">
        <w:rPr>
          <w:sz w:val="18"/>
          <w:szCs w:val="18"/>
        </w:rPr>
        <w:t xml:space="preserve"> </w:t>
      </w:r>
    </w:p>
  </w:footnote>
  <w:footnote w:id="3">
    <w:p w14:paraId="2F694B27" w14:textId="00B1D088" w:rsidR="006F446C" w:rsidRPr="00B24475" w:rsidRDefault="006F446C">
      <w:pPr>
        <w:pStyle w:val="FootnoteText"/>
        <w:rPr>
          <w:sz w:val="18"/>
        </w:rPr>
      </w:pPr>
      <w:r>
        <w:rPr>
          <w:rStyle w:val="FootnoteReference"/>
        </w:rPr>
        <w:footnoteRef/>
      </w:r>
      <w:r>
        <w:t xml:space="preserve"> </w:t>
      </w:r>
      <w:r>
        <w:rPr>
          <w:sz w:val="18"/>
        </w:rPr>
        <w:t>See</w:t>
      </w:r>
      <w:r w:rsidRPr="00B24475">
        <w:rPr>
          <w:sz w:val="18"/>
        </w:rPr>
        <w:t xml:space="preserve"> NER 7.1.2</w:t>
      </w:r>
      <w:r>
        <w:rPr>
          <w:sz w:val="18"/>
        </w:rPr>
        <w:t>.</w:t>
      </w:r>
    </w:p>
  </w:footnote>
  <w:footnote w:id="4">
    <w:p w14:paraId="30A53841" w14:textId="69E68D9C" w:rsidR="006F446C" w:rsidRDefault="006F446C">
      <w:pPr>
        <w:pStyle w:val="FootnoteText"/>
      </w:pPr>
      <w:r>
        <w:rPr>
          <w:rStyle w:val="FootnoteReference"/>
        </w:rPr>
        <w:footnoteRef/>
      </w:r>
      <w:r>
        <w:t xml:space="preserve"> </w:t>
      </w:r>
      <w:r>
        <w:rPr>
          <w:sz w:val="18"/>
        </w:rPr>
        <w:t>See</w:t>
      </w:r>
      <w:r w:rsidRPr="00B24475">
        <w:rPr>
          <w:sz w:val="18"/>
        </w:rPr>
        <w:t xml:space="preserve"> NER 7.3.1A</w:t>
      </w:r>
      <w:r>
        <w:rPr>
          <w:sz w:val="18"/>
        </w:rPr>
        <w:t>.</w:t>
      </w:r>
    </w:p>
  </w:footnote>
  <w:footnote w:id="5">
    <w:p w14:paraId="4FF2966D" w14:textId="7D1844BE" w:rsidR="006F446C" w:rsidRDefault="006F446C">
      <w:pPr>
        <w:pStyle w:val="FootnoteText"/>
      </w:pPr>
      <w:r>
        <w:rPr>
          <w:rStyle w:val="FootnoteReference"/>
        </w:rPr>
        <w:footnoteRef/>
      </w:r>
      <w:r>
        <w:t xml:space="preserve"> </w:t>
      </w:r>
      <w:r>
        <w:rPr>
          <w:sz w:val="18"/>
        </w:rPr>
        <w:t>See</w:t>
      </w:r>
      <w:r w:rsidRPr="00B24475">
        <w:rPr>
          <w:sz w:val="18"/>
        </w:rPr>
        <w:t xml:space="preserve"> </w:t>
      </w:r>
      <w:r>
        <w:rPr>
          <w:sz w:val="18"/>
        </w:rPr>
        <w:t xml:space="preserve">NER 3.15.3. </w:t>
      </w:r>
    </w:p>
  </w:footnote>
  <w:footnote w:id="6">
    <w:p w14:paraId="59BCD73D" w14:textId="2E6C1A2E" w:rsidR="006F446C" w:rsidRDefault="006F446C">
      <w:pPr>
        <w:pStyle w:val="FootnoteText"/>
        <w:rPr>
          <w:sz w:val="18"/>
        </w:rPr>
      </w:pPr>
      <w:r>
        <w:rPr>
          <w:rStyle w:val="FootnoteReference"/>
        </w:rPr>
        <w:footnoteRef/>
      </w:r>
      <w:r>
        <w:t xml:space="preserve"> </w:t>
      </w:r>
      <w:r>
        <w:rPr>
          <w:sz w:val="18"/>
        </w:rPr>
        <w:t>For further general information on FCAS refer to:</w:t>
      </w:r>
    </w:p>
    <w:p w14:paraId="2A9843C1" w14:textId="23712A62" w:rsidR="006F446C" w:rsidRPr="004664D4" w:rsidRDefault="00220946">
      <w:pPr>
        <w:pStyle w:val="FootnoteText"/>
        <w:rPr>
          <w:sz w:val="18"/>
        </w:rPr>
      </w:pPr>
      <w:hyperlink r:id="rId2" w:history="1">
        <w:r w:rsidR="006F446C" w:rsidRPr="00405205">
          <w:rPr>
            <w:rStyle w:val="Hyperlink"/>
            <w:sz w:val="18"/>
          </w:rPr>
          <w:t>https://www.aemo.com.au/-/media/Files/PDF/Guide-to-Ancillary-Services-in-the-National-Electricity-Market.ashx</w:t>
        </w:r>
      </w:hyperlink>
      <w:r w:rsidR="006F446C">
        <w:rPr>
          <w:sz w:val="18"/>
        </w:rPr>
        <w:t xml:space="preserve"> </w:t>
      </w:r>
    </w:p>
  </w:footnote>
  <w:footnote w:id="7">
    <w:p w14:paraId="100D0C64" w14:textId="255BB705" w:rsidR="006F446C" w:rsidRDefault="006F446C">
      <w:pPr>
        <w:pStyle w:val="FootnoteText"/>
      </w:pPr>
      <w:r>
        <w:rPr>
          <w:rStyle w:val="FootnoteReference"/>
        </w:rPr>
        <w:footnoteRef/>
      </w:r>
      <w:r>
        <w:t xml:space="preserve"> </w:t>
      </w:r>
      <w:r w:rsidRPr="00B24475">
        <w:rPr>
          <w:sz w:val="18"/>
        </w:rPr>
        <w:t>For further information refer to the Clean Energy Regulator:</w:t>
      </w:r>
    </w:p>
    <w:p w14:paraId="1683E1E2" w14:textId="2E6DCFC0" w:rsidR="006F446C" w:rsidRDefault="00220946">
      <w:pPr>
        <w:pStyle w:val="FootnoteText"/>
      </w:pPr>
      <w:hyperlink r:id="rId3" w:history="1">
        <w:r w:rsidR="006F446C" w:rsidRPr="00B24475">
          <w:rPr>
            <w:rStyle w:val="Hyperlink"/>
            <w:sz w:val="18"/>
          </w:rPr>
          <w:t>http://www.cleanenergyregulator.gov.au/RET/Scheme-participants-and-industry/Power-stations/Large-scale-generation-certificates/Creating-and-registering-large-scale-generation-certificates</w:t>
        </w:r>
      </w:hyperlink>
      <w:r w:rsidR="006F446C" w:rsidRPr="00B24475">
        <w:rPr>
          <w:sz w:val="18"/>
        </w:rPr>
        <w:t xml:space="preserve"> </w:t>
      </w:r>
    </w:p>
  </w:footnote>
  <w:footnote w:id="8">
    <w:p w14:paraId="042AB41C" w14:textId="06C64432" w:rsidR="006F446C" w:rsidRDefault="006F446C">
      <w:pPr>
        <w:pStyle w:val="FootnoteText"/>
        <w:rPr>
          <w:sz w:val="18"/>
        </w:rPr>
      </w:pPr>
      <w:r>
        <w:rPr>
          <w:rStyle w:val="FootnoteReference"/>
        </w:rPr>
        <w:footnoteRef/>
      </w:r>
      <w:r>
        <w:t xml:space="preserve"> </w:t>
      </w:r>
      <w:r>
        <w:rPr>
          <w:sz w:val="18"/>
        </w:rPr>
        <w:t>Refer to connection process overview for more information:</w:t>
      </w:r>
    </w:p>
    <w:p w14:paraId="52E3C340" w14:textId="4D7E5F53" w:rsidR="006F446C" w:rsidRPr="00D25F6C" w:rsidRDefault="00220946">
      <w:pPr>
        <w:pStyle w:val="FootnoteText"/>
        <w:rPr>
          <w:sz w:val="18"/>
        </w:rPr>
      </w:pPr>
      <w:hyperlink r:id="rId4" w:history="1">
        <w:r w:rsidR="006F446C" w:rsidRPr="00405205">
          <w:rPr>
            <w:rStyle w:val="Hyperlink"/>
            <w:sz w:val="18"/>
          </w:rPr>
          <w:t>https://www.aemo.com.au/Electricity/National-Electricity-Market-NEM/Network-connections/Transmission-and-distribution-in-the-NEM--process-overview</w:t>
        </w:r>
      </w:hyperlink>
      <w:r w:rsidR="006F446C">
        <w:rPr>
          <w:sz w:val="18"/>
        </w:rPr>
        <w:t xml:space="preserve"> </w:t>
      </w:r>
    </w:p>
  </w:footnote>
  <w:footnote w:id="9">
    <w:p w14:paraId="0A223E5D" w14:textId="77777777" w:rsidR="006F446C" w:rsidRDefault="006F446C" w:rsidP="009E71BA">
      <w:pPr>
        <w:pStyle w:val="FootnoteText"/>
        <w:rPr>
          <w:sz w:val="18"/>
        </w:rPr>
      </w:pPr>
      <w:r>
        <w:rPr>
          <w:rStyle w:val="FootnoteReference"/>
        </w:rPr>
        <w:footnoteRef/>
      </w:r>
      <w:r>
        <w:t xml:space="preserve"> </w:t>
      </w:r>
      <w:r>
        <w:rPr>
          <w:sz w:val="18"/>
        </w:rPr>
        <w:t>Further information on the MASS, which is currently under consultation, is available here:</w:t>
      </w:r>
    </w:p>
    <w:p w14:paraId="5EBF31A7" w14:textId="77777777" w:rsidR="006F446C" w:rsidRDefault="00220946" w:rsidP="009E71BA">
      <w:pPr>
        <w:pStyle w:val="FootnoteText"/>
      </w:pPr>
      <w:hyperlink r:id="rId5" w:history="1">
        <w:r w:rsidR="006F446C" w:rsidRPr="00405205">
          <w:rPr>
            <w:rStyle w:val="Hyperlink"/>
            <w:sz w:val="18"/>
          </w:rPr>
          <w:t>https://www.aemo.com.au/Stakeholder-Consultation/Consultations/Amendment-Of-The-Market-Ancillary-Service-Specification</w:t>
        </w:r>
      </w:hyperlink>
    </w:p>
  </w:footnote>
  <w:footnote w:id="10">
    <w:p w14:paraId="1C3FDB3D" w14:textId="212BC0C9" w:rsidR="00D0597B" w:rsidRDefault="00D0597B">
      <w:pPr>
        <w:pStyle w:val="FootnoteText"/>
      </w:pPr>
      <w:r>
        <w:rPr>
          <w:rStyle w:val="FootnoteReference"/>
        </w:rPr>
        <w:footnoteRef/>
      </w:r>
      <w:r>
        <w:t xml:space="preserve"> </w:t>
      </w:r>
      <w:r w:rsidRPr="00D0597B">
        <w:rPr>
          <w:sz w:val="18"/>
        </w:rPr>
        <w:t>On 27 June 2017, the AEMC extended the period of time for making the draft rule determination for this rule change request until 7 November 2017.</w:t>
      </w:r>
    </w:p>
  </w:footnote>
  <w:footnote w:id="11">
    <w:p w14:paraId="6581E4FE" w14:textId="755D2A30" w:rsidR="00532FC5" w:rsidRDefault="00532FC5" w:rsidP="00532FC5">
      <w:pPr>
        <w:pStyle w:val="FootnoteText"/>
      </w:pPr>
      <w:r>
        <w:rPr>
          <w:rStyle w:val="FootnoteReference"/>
        </w:rPr>
        <w:footnoteRef/>
      </w:r>
      <w:r w:rsidRPr="00D0597B">
        <w:rPr>
          <w:sz w:val="18"/>
        </w:rPr>
        <w:t xml:space="preserve"> </w:t>
      </w:r>
      <w:hyperlink r:id="rId6" w:history="1">
        <w:r w:rsidR="00B64D6C" w:rsidRPr="002D6D3F">
          <w:rPr>
            <w:rStyle w:val="Hyperlink"/>
            <w:sz w:val="18"/>
          </w:rPr>
          <w:t>http://www.aemc.gov.au/Markets-Reviews-Advice/Frequency-control-frameworks-review</w:t>
        </w:r>
      </w:hyperlink>
      <w:r w:rsidR="00B64D6C">
        <w:rPr>
          <w:sz w:val="18"/>
        </w:rPr>
        <w:t xml:space="preserve"> </w:t>
      </w:r>
    </w:p>
  </w:footnote>
  <w:footnote w:id="12">
    <w:p w14:paraId="29B83DE1" w14:textId="6DEA0FDB" w:rsidR="00DC4725" w:rsidRDefault="00DC4725">
      <w:pPr>
        <w:pStyle w:val="FootnoteText"/>
      </w:pPr>
      <w:r>
        <w:rPr>
          <w:rStyle w:val="FootnoteReference"/>
        </w:rPr>
        <w:footnoteRef/>
      </w:r>
      <w:r>
        <w:t xml:space="preserve"> </w:t>
      </w:r>
      <w:hyperlink r:id="rId7" w:history="1">
        <w:r w:rsidR="00B64D6C" w:rsidRPr="002D6D3F">
          <w:rPr>
            <w:rStyle w:val="Hyperlink"/>
            <w:sz w:val="18"/>
          </w:rPr>
          <w:t>http://www.aemc.gov.au/Rule-Changes/Network-Support-and-Control-Ancillary-Services</w:t>
        </w:r>
      </w:hyperlink>
      <w:r w:rsidR="00B64D6C">
        <w:rPr>
          <w:sz w:val="18"/>
        </w:rPr>
        <w:t xml:space="preserve"> </w:t>
      </w:r>
    </w:p>
  </w:footnote>
  <w:footnote w:id="13">
    <w:p w14:paraId="45B593DE" w14:textId="0A37B302" w:rsidR="006F446C" w:rsidRPr="00AD14DC" w:rsidRDefault="006F446C">
      <w:pPr>
        <w:pStyle w:val="FootnoteText"/>
        <w:rPr>
          <w:sz w:val="18"/>
        </w:rPr>
      </w:pPr>
      <w:r w:rsidRPr="00AD14DC">
        <w:rPr>
          <w:rStyle w:val="FootnoteReference"/>
          <w:sz w:val="18"/>
        </w:rPr>
        <w:footnoteRef/>
      </w:r>
      <w:r w:rsidRPr="00AD14DC">
        <w:rPr>
          <w:sz w:val="18"/>
        </w:rPr>
        <w:t xml:space="preserve"> The Chapter 7 references will change from 1 Dec 2017, but the principles will be the same, with the exception that the Metering Coordinator will assume responsibility for the metering installation.</w:t>
      </w:r>
      <w:r>
        <w:rPr>
          <w:sz w:val="18"/>
        </w:rPr>
        <w:t xml:space="preserve">  NER 7.1.2(a) becomes 7.2.1(a), 7.3.1A(a) becomes 7.8.1(a) and 7.3.1(e) becomes 7.8.2(d).</w:t>
      </w:r>
    </w:p>
  </w:footnote>
  <w:footnote w:id="14">
    <w:p w14:paraId="56374789" w14:textId="7468AB7F" w:rsidR="00EE0E2A" w:rsidRDefault="00EE0E2A">
      <w:pPr>
        <w:pStyle w:val="FootnoteText"/>
      </w:pPr>
      <w:r>
        <w:rPr>
          <w:rStyle w:val="FootnoteReference"/>
        </w:rPr>
        <w:footnoteRef/>
      </w:r>
      <w:r>
        <w:t xml:space="preserve"> </w:t>
      </w:r>
      <w:hyperlink r:id="rId8" w:history="1">
        <w:r w:rsidRPr="002D6D3F">
          <w:rPr>
            <w:rStyle w:val="Hyperlink"/>
            <w:sz w:val="18"/>
          </w:rPr>
          <w:t>http://www.aemc.gov.au/getattachment/900f37e2-efa4-4c7f-99ea-fa9c78b41993/Terms-of-reference.aspx</w:t>
        </w:r>
      </w:hyperlink>
      <w:r>
        <w:rPr>
          <w:sz w:val="18"/>
        </w:rPr>
        <w:t xml:space="preserve"> </w:t>
      </w:r>
    </w:p>
  </w:footnote>
  <w:footnote w:id="15">
    <w:p w14:paraId="2A59D1A0" w14:textId="3F176AE0" w:rsidR="000474AB" w:rsidRDefault="000474AB">
      <w:pPr>
        <w:pStyle w:val="FootnoteText"/>
      </w:pPr>
      <w:r>
        <w:rPr>
          <w:rStyle w:val="FootnoteReference"/>
        </w:rPr>
        <w:footnoteRef/>
      </w:r>
      <w:r>
        <w:t xml:space="preserve"> </w:t>
      </w:r>
      <w:hyperlink r:id="rId9" w:history="1">
        <w:r w:rsidRPr="002D6D3F">
          <w:rPr>
            <w:rStyle w:val="Hyperlink"/>
            <w:sz w:val="18"/>
          </w:rPr>
          <w:t>https://www.aemo.com.au/Stakeholder-Consultation/Industry-forums-and-working-groups/Other-meetings/Ancillary-Services-Technical-Advisory-Group</w:t>
        </w:r>
      </w:hyperlink>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900E8" w14:textId="77777777" w:rsidR="006F446C" w:rsidRDefault="006F446C" w:rsidP="004E10BA">
    <w:pPr>
      <w:pStyle w:val="BodyText"/>
    </w:pPr>
    <w:r w:rsidRPr="00E31E7C">
      <w:rPr>
        <w:noProof/>
      </w:rPr>
      <w:drawing>
        <wp:anchor distT="0" distB="0" distL="114300" distR="114300" simplePos="0" relativeHeight="251658241" behindDoc="1" locked="1" layoutInCell="1" allowOverlap="1" wp14:anchorId="711D6ED3" wp14:editId="11319B3A">
          <wp:simplePos x="0" y="0"/>
          <wp:positionH relativeFrom="page">
            <wp:posOffset>5123815</wp:posOffset>
          </wp:positionH>
          <wp:positionV relativeFrom="page">
            <wp:posOffset>426720</wp:posOffset>
          </wp:positionV>
          <wp:extent cx="1990725" cy="657225"/>
          <wp:effectExtent l="0" t="0" r="9525" b="9525"/>
          <wp:wrapNone/>
          <wp:docPr id="7" name="Picture 7"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7225"/>
                  </a:xfrm>
                  <a:prstGeom prst="rect">
                    <a:avLst/>
                  </a:prstGeom>
                  <a:solidFill>
                    <a:srgbClr val="FFFFFF"/>
                  </a:solidFill>
                  <a:ln w="9525">
                    <a:noFill/>
                    <a:miter lim="800000"/>
                    <a:headEnd/>
                    <a:tailEnd/>
                  </a:ln>
                </pic:spPr>
              </pic:pic>
            </a:graphicData>
          </a:graphic>
        </wp:anchor>
      </w:drawing>
    </w:r>
  </w:p>
  <w:p w14:paraId="3A347C67" w14:textId="77777777" w:rsidR="006F446C" w:rsidRPr="00331250" w:rsidRDefault="006F446C" w:rsidP="004E10BA">
    <w:pPr>
      <w:pStyle w:val="BodyText"/>
    </w:pPr>
    <w:r w:rsidRPr="00E31E7C">
      <w:rPr>
        <w:noProof/>
      </w:rPr>
      <w:drawing>
        <wp:anchor distT="0" distB="0" distL="114300" distR="114300" simplePos="0" relativeHeight="251658240" behindDoc="1" locked="1" layoutInCell="1" allowOverlap="1" wp14:anchorId="371CBC3D" wp14:editId="646E4487">
          <wp:simplePos x="0" y="0"/>
          <wp:positionH relativeFrom="page">
            <wp:posOffset>8263890</wp:posOffset>
          </wp:positionH>
          <wp:positionV relativeFrom="page">
            <wp:posOffset>200025</wp:posOffset>
          </wp:positionV>
          <wp:extent cx="1990725" cy="657225"/>
          <wp:effectExtent l="0" t="0" r="9525" b="9525"/>
          <wp:wrapNone/>
          <wp:docPr id="9" name="Picture 9"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7225"/>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1FD4"/>
    <w:multiLevelType w:val="hybridMultilevel"/>
    <w:tmpl w:val="25A8E7D8"/>
    <w:lvl w:ilvl="0" w:tplc="037ACBD6">
      <w:start w:val="1"/>
      <w:numFmt w:val="bullet"/>
      <w:pStyle w:val="ListBullet"/>
      <w:lvlText w:val=""/>
      <w:lvlJc w:val="left"/>
      <w:pPr>
        <w:tabs>
          <w:tab w:val="num" w:pos="714"/>
        </w:tabs>
        <w:ind w:left="714" w:hanging="35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2D02C7"/>
    <w:multiLevelType w:val="hybridMultilevel"/>
    <w:tmpl w:val="B74C4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64397"/>
    <w:multiLevelType w:val="hybridMultilevel"/>
    <w:tmpl w:val="78F01508"/>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3" w15:restartNumberingAfterBreak="0">
    <w:nsid w:val="0D523522"/>
    <w:multiLevelType w:val="hybridMultilevel"/>
    <w:tmpl w:val="E744D456"/>
    <w:lvl w:ilvl="0" w:tplc="A7422DB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DC9135D"/>
    <w:multiLevelType w:val="hybridMultilevel"/>
    <w:tmpl w:val="F780AE8E"/>
    <w:lvl w:ilvl="0" w:tplc="18F2857A">
      <w:start w:val="1"/>
      <w:numFmt w:val="bullet"/>
      <w:pStyle w:val="ListBullet3"/>
      <w:lvlText w:val=""/>
      <w:lvlJc w:val="left"/>
      <w:pPr>
        <w:tabs>
          <w:tab w:val="num" w:pos="1429"/>
        </w:tabs>
        <w:ind w:left="1429"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B6291"/>
    <w:multiLevelType w:val="hybridMultilevel"/>
    <w:tmpl w:val="3B9AF0CA"/>
    <w:lvl w:ilvl="0" w:tplc="0156AC6C">
      <w:start w:val="1"/>
      <w:numFmt w:val="bullet"/>
      <w:lvlText w:val="•"/>
      <w:lvlJc w:val="left"/>
      <w:pPr>
        <w:tabs>
          <w:tab w:val="num" w:pos="720"/>
        </w:tabs>
        <w:ind w:left="720" w:hanging="360"/>
      </w:pPr>
      <w:rPr>
        <w:rFonts w:ascii="Arial" w:hAnsi="Arial" w:hint="default"/>
      </w:rPr>
    </w:lvl>
    <w:lvl w:ilvl="1" w:tplc="329ABC8C" w:tentative="1">
      <w:start w:val="1"/>
      <w:numFmt w:val="bullet"/>
      <w:lvlText w:val="•"/>
      <w:lvlJc w:val="left"/>
      <w:pPr>
        <w:tabs>
          <w:tab w:val="num" w:pos="1440"/>
        </w:tabs>
        <w:ind w:left="1440" w:hanging="360"/>
      </w:pPr>
      <w:rPr>
        <w:rFonts w:ascii="Arial" w:hAnsi="Arial" w:hint="default"/>
      </w:rPr>
    </w:lvl>
    <w:lvl w:ilvl="2" w:tplc="E466AD3E" w:tentative="1">
      <w:start w:val="1"/>
      <w:numFmt w:val="bullet"/>
      <w:lvlText w:val="•"/>
      <w:lvlJc w:val="left"/>
      <w:pPr>
        <w:tabs>
          <w:tab w:val="num" w:pos="2160"/>
        </w:tabs>
        <w:ind w:left="2160" w:hanging="360"/>
      </w:pPr>
      <w:rPr>
        <w:rFonts w:ascii="Arial" w:hAnsi="Arial" w:hint="default"/>
      </w:rPr>
    </w:lvl>
    <w:lvl w:ilvl="3" w:tplc="D8D619EC" w:tentative="1">
      <w:start w:val="1"/>
      <w:numFmt w:val="bullet"/>
      <w:lvlText w:val="•"/>
      <w:lvlJc w:val="left"/>
      <w:pPr>
        <w:tabs>
          <w:tab w:val="num" w:pos="2880"/>
        </w:tabs>
        <w:ind w:left="2880" w:hanging="360"/>
      </w:pPr>
      <w:rPr>
        <w:rFonts w:ascii="Arial" w:hAnsi="Arial" w:hint="default"/>
      </w:rPr>
    </w:lvl>
    <w:lvl w:ilvl="4" w:tplc="B88A1528" w:tentative="1">
      <w:start w:val="1"/>
      <w:numFmt w:val="bullet"/>
      <w:lvlText w:val="•"/>
      <w:lvlJc w:val="left"/>
      <w:pPr>
        <w:tabs>
          <w:tab w:val="num" w:pos="3600"/>
        </w:tabs>
        <w:ind w:left="3600" w:hanging="360"/>
      </w:pPr>
      <w:rPr>
        <w:rFonts w:ascii="Arial" w:hAnsi="Arial" w:hint="default"/>
      </w:rPr>
    </w:lvl>
    <w:lvl w:ilvl="5" w:tplc="17C0A166" w:tentative="1">
      <w:start w:val="1"/>
      <w:numFmt w:val="bullet"/>
      <w:lvlText w:val="•"/>
      <w:lvlJc w:val="left"/>
      <w:pPr>
        <w:tabs>
          <w:tab w:val="num" w:pos="4320"/>
        </w:tabs>
        <w:ind w:left="4320" w:hanging="360"/>
      </w:pPr>
      <w:rPr>
        <w:rFonts w:ascii="Arial" w:hAnsi="Arial" w:hint="default"/>
      </w:rPr>
    </w:lvl>
    <w:lvl w:ilvl="6" w:tplc="4F947026" w:tentative="1">
      <w:start w:val="1"/>
      <w:numFmt w:val="bullet"/>
      <w:lvlText w:val="•"/>
      <w:lvlJc w:val="left"/>
      <w:pPr>
        <w:tabs>
          <w:tab w:val="num" w:pos="5040"/>
        </w:tabs>
        <w:ind w:left="5040" w:hanging="360"/>
      </w:pPr>
      <w:rPr>
        <w:rFonts w:ascii="Arial" w:hAnsi="Arial" w:hint="default"/>
      </w:rPr>
    </w:lvl>
    <w:lvl w:ilvl="7" w:tplc="0556F224" w:tentative="1">
      <w:start w:val="1"/>
      <w:numFmt w:val="bullet"/>
      <w:lvlText w:val="•"/>
      <w:lvlJc w:val="left"/>
      <w:pPr>
        <w:tabs>
          <w:tab w:val="num" w:pos="5760"/>
        </w:tabs>
        <w:ind w:left="5760" w:hanging="360"/>
      </w:pPr>
      <w:rPr>
        <w:rFonts w:ascii="Arial" w:hAnsi="Arial" w:hint="default"/>
      </w:rPr>
    </w:lvl>
    <w:lvl w:ilvl="8" w:tplc="DF02F30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1F7C49"/>
    <w:multiLevelType w:val="hybridMultilevel"/>
    <w:tmpl w:val="AFEEA8DA"/>
    <w:lvl w:ilvl="0" w:tplc="E57A0C9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FF1446"/>
    <w:multiLevelType w:val="hybridMultilevel"/>
    <w:tmpl w:val="D7E29F60"/>
    <w:lvl w:ilvl="0" w:tplc="CD20D8DA">
      <w:start w:val="1"/>
      <w:numFmt w:val="bullet"/>
      <w:lvlText w:val="•"/>
      <w:lvlJc w:val="left"/>
      <w:pPr>
        <w:tabs>
          <w:tab w:val="num" w:pos="720"/>
        </w:tabs>
        <w:ind w:left="720" w:hanging="360"/>
      </w:pPr>
      <w:rPr>
        <w:rFonts w:ascii="Arial" w:hAnsi="Arial" w:hint="default"/>
      </w:rPr>
    </w:lvl>
    <w:lvl w:ilvl="1" w:tplc="C518D486" w:tentative="1">
      <w:start w:val="1"/>
      <w:numFmt w:val="bullet"/>
      <w:lvlText w:val="•"/>
      <w:lvlJc w:val="left"/>
      <w:pPr>
        <w:tabs>
          <w:tab w:val="num" w:pos="1440"/>
        </w:tabs>
        <w:ind w:left="1440" w:hanging="360"/>
      </w:pPr>
      <w:rPr>
        <w:rFonts w:ascii="Arial" w:hAnsi="Arial" w:hint="default"/>
      </w:rPr>
    </w:lvl>
    <w:lvl w:ilvl="2" w:tplc="9800AB4A" w:tentative="1">
      <w:start w:val="1"/>
      <w:numFmt w:val="bullet"/>
      <w:lvlText w:val="•"/>
      <w:lvlJc w:val="left"/>
      <w:pPr>
        <w:tabs>
          <w:tab w:val="num" w:pos="2160"/>
        </w:tabs>
        <w:ind w:left="2160" w:hanging="360"/>
      </w:pPr>
      <w:rPr>
        <w:rFonts w:ascii="Arial" w:hAnsi="Arial" w:hint="default"/>
      </w:rPr>
    </w:lvl>
    <w:lvl w:ilvl="3" w:tplc="E5709A10" w:tentative="1">
      <w:start w:val="1"/>
      <w:numFmt w:val="bullet"/>
      <w:lvlText w:val="•"/>
      <w:lvlJc w:val="left"/>
      <w:pPr>
        <w:tabs>
          <w:tab w:val="num" w:pos="2880"/>
        </w:tabs>
        <w:ind w:left="2880" w:hanging="360"/>
      </w:pPr>
      <w:rPr>
        <w:rFonts w:ascii="Arial" w:hAnsi="Arial" w:hint="default"/>
      </w:rPr>
    </w:lvl>
    <w:lvl w:ilvl="4" w:tplc="DC763AFA" w:tentative="1">
      <w:start w:val="1"/>
      <w:numFmt w:val="bullet"/>
      <w:lvlText w:val="•"/>
      <w:lvlJc w:val="left"/>
      <w:pPr>
        <w:tabs>
          <w:tab w:val="num" w:pos="3600"/>
        </w:tabs>
        <w:ind w:left="3600" w:hanging="360"/>
      </w:pPr>
      <w:rPr>
        <w:rFonts w:ascii="Arial" w:hAnsi="Arial" w:hint="default"/>
      </w:rPr>
    </w:lvl>
    <w:lvl w:ilvl="5" w:tplc="FDEAA646" w:tentative="1">
      <w:start w:val="1"/>
      <w:numFmt w:val="bullet"/>
      <w:lvlText w:val="•"/>
      <w:lvlJc w:val="left"/>
      <w:pPr>
        <w:tabs>
          <w:tab w:val="num" w:pos="4320"/>
        </w:tabs>
        <w:ind w:left="4320" w:hanging="360"/>
      </w:pPr>
      <w:rPr>
        <w:rFonts w:ascii="Arial" w:hAnsi="Arial" w:hint="default"/>
      </w:rPr>
    </w:lvl>
    <w:lvl w:ilvl="6" w:tplc="3B6874FA" w:tentative="1">
      <w:start w:val="1"/>
      <w:numFmt w:val="bullet"/>
      <w:lvlText w:val="•"/>
      <w:lvlJc w:val="left"/>
      <w:pPr>
        <w:tabs>
          <w:tab w:val="num" w:pos="5040"/>
        </w:tabs>
        <w:ind w:left="5040" w:hanging="360"/>
      </w:pPr>
      <w:rPr>
        <w:rFonts w:ascii="Arial" w:hAnsi="Arial" w:hint="default"/>
      </w:rPr>
    </w:lvl>
    <w:lvl w:ilvl="7" w:tplc="27D0C8A6" w:tentative="1">
      <w:start w:val="1"/>
      <w:numFmt w:val="bullet"/>
      <w:lvlText w:val="•"/>
      <w:lvlJc w:val="left"/>
      <w:pPr>
        <w:tabs>
          <w:tab w:val="num" w:pos="5760"/>
        </w:tabs>
        <w:ind w:left="5760" w:hanging="360"/>
      </w:pPr>
      <w:rPr>
        <w:rFonts w:ascii="Arial" w:hAnsi="Arial" w:hint="default"/>
      </w:rPr>
    </w:lvl>
    <w:lvl w:ilvl="8" w:tplc="30FC7A6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472A03"/>
    <w:multiLevelType w:val="hybridMultilevel"/>
    <w:tmpl w:val="8982E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3A073C"/>
    <w:multiLevelType w:val="hybridMultilevel"/>
    <w:tmpl w:val="8160E55C"/>
    <w:lvl w:ilvl="0" w:tplc="5EAC49DE">
      <w:start w:val="1"/>
      <w:numFmt w:val="bullet"/>
      <w:pStyle w:val="ListBullet2"/>
      <w:lvlText w:val="o"/>
      <w:lvlJc w:val="left"/>
      <w:pPr>
        <w:tabs>
          <w:tab w:val="num" w:pos="1072"/>
        </w:tabs>
        <w:ind w:left="1072" w:hanging="358"/>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CD72C4"/>
    <w:multiLevelType w:val="hybridMultilevel"/>
    <w:tmpl w:val="18A84C34"/>
    <w:lvl w:ilvl="0" w:tplc="E12E4924">
      <w:start w:val="1"/>
      <w:numFmt w:val="decimal"/>
      <w:pStyle w:val="ListNumber"/>
      <w:lvlText w:val="%1."/>
      <w:lvlJc w:val="left"/>
      <w:pPr>
        <w:tabs>
          <w:tab w:val="num" w:pos="714"/>
        </w:tabs>
        <w:ind w:left="714"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3A5D00"/>
    <w:multiLevelType w:val="hybridMultilevel"/>
    <w:tmpl w:val="2C0052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7A30064"/>
    <w:multiLevelType w:val="hybridMultilevel"/>
    <w:tmpl w:val="A2148964"/>
    <w:lvl w:ilvl="0" w:tplc="FA6C8B68">
      <w:start w:val="1"/>
      <w:numFmt w:val="lowerRoman"/>
      <w:pStyle w:val="ListNumber3"/>
      <w:lvlText w:val="%1."/>
      <w:lvlJc w:val="right"/>
      <w:pPr>
        <w:tabs>
          <w:tab w:val="num" w:pos="1429"/>
        </w:tabs>
        <w:ind w:left="1429"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76784C"/>
    <w:multiLevelType w:val="multilevel"/>
    <w:tmpl w:val="AE7A153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11C6F30"/>
    <w:multiLevelType w:val="hybridMultilevel"/>
    <w:tmpl w:val="9B86D33E"/>
    <w:lvl w:ilvl="0" w:tplc="59964050">
      <w:start w:val="1"/>
      <w:numFmt w:val="lowerLetter"/>
      <w:pStyle w:val="ListNumber2"/>
      <w:lvlText w:val="%1."/>
      <w:lvlJc w:val="left"/>
      <w:pPr>
        <w:tabs>
          <w:tab w:val="num" w:pos="1072"/>
        </w:tabs>
        <w:ind w:left="1072" w:hanging="35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B10271"/>
    <w:multiLevelType w:val="hybridMultilevel"/>
    <w:tmpl w:val="9DBE053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6" w15:restartNumberingAfterBreak="0">
    <w:nsid w:val="5E7C77BA"/>
    <w:multiLevelType w:val="hybridMultilevel"/>
    <w:tmpl w:val="C728FCA6"/>
    <w:lvl w:ilvl="0" w:tplc="E57A0C9A">
      <w:numFmt w:val="bullet"/>
      <w:lvlText w:val="-"/>
      <w:lvlJc w:val="left"/>
      <w:pPr>
        <w:ind w:left="928" w:hanging="360"/>
      </w:pPr>
      <w:rPr>
        <w:rFonts w:ascii="Arial" w:eastAsia="Times New Roman" w:hAnsi="Arial" w:cs="Aria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7" w15:restartNumberingAfterBreak="0">
    <w:nsid w:val="61D90A1D"/>
    <w:multiLevelType w:val="hybridMultilevel"/>
    <w:tmpl w:val="4E685CFC"/>
    <w:lvl w:ilvl="0" w:tplc="AC2ED9AC">
      <w:start w:val="1"/>
      <w:numFmt w:val="bullet"/>
      <w:lvlText w:val="•"/>
      <w:lvlJc w:val="left"/>
      <w:pPr>
        <w:tabs>
          <w:tab w:val="num" w:pos="720"/>
        </w:tabs>
        <w:ind w:left="720" w:hanging="360"/>
      </w:pPr>
      <w:rPr>
        <w:rFonts w:ascii="Arial" w:hAnsi="Arial" w:hint="default"/>
      </w:rPr>
    </w:lvl>
    <w:lvl w:ilvl="1" w:tplc="40AC79A6" w:tentative="1">
      <w:start w:val="1"/>
      <w:numFmt w:val="bullet"/>
      <w:lvlText w:val="•"/>
      <w:lvlJc w:val="left"/>
      <w:pPr>
        <w:tabs>
          <w:tab w:val="num" w:pos="1440"/>
        </w:tabs>
        <w:ind w:left="1440" w:hanging="360"/>
      </w:pPr>
      <w:rPr>
        <w:rFonts w:ascii="Arial" w:hAnsi="Arial" w:hint="default"/>
      </w:rPr>
    </w:lvl>
    <w:lvl w:ilvl="2" w:tplc="401838E0" w:tentative="1">
      <w:start w:val="1"/>
      <w:numFmt w:val="bullet"/>
      <w:lvlText w:val="•"/>
      <w:lvlJc w:val="left"/>
      <w:pPr>
        <w:tabs>
          <w:tab w:val="num" w:pos="2160"/>
        </w:tabs>
        <w:ind w:left="2160" w:hanging="360"/>
      </w:pPr>
      <w:rPr>
        <w:rFonts w:ascii="Arial" w:hAnsi="Arial" w:hint="default"/>
      </w:rPr>
    </w:lvl>
    <w:lvl w:ilvl="3" w:tplc="539856C4" w:tentative="1">
      <w:start w:val="1"/>
      <w:numFmt w:val="bullet"/>
      <w:lvlText w:val="•"/>
      <w:lvlJc w:val="left"/>
      <w:pPr>
        <w:tabs>
          <w:tab w:val="num" w:pos="2880"/>
        </w:tabs>
        <w:ind w:left="2880" w:hanging="360"/>
      </w:pPr>
      <w:rPr>
        <w:rFonts w:ascii="Arial" w:hAnsi="Arial" w:hint="default"/>
      </w:rPr>
    </w:lvl>
    <w:lvl w:ilvl="4" w:tplc="324CFB42" w:tentative="1">
      <w:start w:val="1"/>
      <w:numFmt w:val="bullet"/>
      <w:lvlText w:val="•"/>
      <w:lvlJc w:val="left"/>
      <w:pPr>
        <w:tabs>
          <w:tab w:val="num" w:pos="3600"/>
        </w:tabs>
        <w:ind w:left="3600" w:hanging="360"/>
      </w:pPr>
      <w:rPr>
        <w:rFonts w:ascii="Arial" w:hAnsi="Arial" w:hint="default"/>
      </w:rPr>
    </w:lvl>
    <w:lvl w:ilvl="5" w:tplc="C4ACB746" w:tentative="1">
      <w:start w:val="1"/>
      <w:numFmt w:val="bullet"/>
      <w:lvlText w:val="•"/>
      <w:lvlJc w:val="left"/>
      <w:pPr>
        <w:tabs>
          <w:tab w:val="num" w:pos="4320"/>
        </w:tabs>
        <w:ind w:left="4320" w:hanging="360"/>
      </w:pPr>
      <w:rPr>
        <w:rFonts w:ascii="Arial" w:hAnsi="Arial" w:hint="default"/>
      </w:rPr>
    </w:lvl>
    <w:lvl w:ilvl="6" w:tplc="B1DE1466" w:tentative="1">
      <w:start w:val="1"/>
      <w:numFmt w:val="bullet"/>
      <w:lvlText w:val="•"/>
      <w:lvlJc w:val="left"/>
      <w:pPr>
        <w:tabs>
          <w:tab w:val="num" w:pos="5040"/>
        </w:tabs>
        <w:ind w:left="5040" w:hanging="360"/>
      </w:pPr>
      <w:rPr>
        <w:rFonts w:ascii="Arial" w:hAnsi="Arial" w:hint="default"/>
      </w:rPr>
    </w:lvl>
    <w:lvl w:ilvl="7" w:tplc="DAA6C2B4" w:tentative="1">
      <w:start w:val="1"/>
      <w:numFmt w:val="bullet"/>
      <w:lvlText w:val="•"/>
      <w:lvlJc w:val="left"/>
      <w:pPr>
        <w:tabs>
          <w:tab w:val="num" w:pos="5760"/>
        </w:tabs>
        <w:ind w:left="5760" w:hanging="360"/>
      </w:pPr>
      <w:rPr>
        <w:rFonts w:ascii="Arial" w:hAnsi="Arial" w:hint="default"/>
      </w:rPr>
    </w:lvl>
    <w:lvl w:ilvl="8" w:tplc="2982E33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8DB587B"/>
    <w:multiLevelType w:val="hybridMultilevel"/>
    <w:tmpl w:val="56C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1D3AA9"/>
    <w:multiLevelType w:val="multilevel"/>
    <w:tmpl w:val="4DD2CF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E5577B"/>
    <w:multiLevelType w:val="hybridMultilevel"/>
    <w:tmpl w:val="8A66E7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FF84A9C"/>
    <w:multiLevelType w:val="hybridMultilevel"/>
    <w:tmpl w:val="0D9C5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0"/>
  </w:num>
  <w:num w:numId="4">
    <w:abstractNumId w:val="14"/>
  </w:num>
  <w:num w:numId="5">
    <w:abstractNumId w:val="12"/>
  </w:num>
  <w:num w:numId="6">
    <w:abstractNumId w:val="9"/>
  </w:num>
  <w:num w:numId="7">
    <w:abstractNumId w:val="4"/>
  </w:num>
  <w:num w:numId="8">
    <w:abstractNumId w:val="18"/>
  </w:num>
  <w:num w:numId="9">
    <w:abstractNumId w:val="11"/>
  </w:num>
  <w:num w:numId="10">
    <w:abstractNumId w:val="20"/>
  </w:num>
  <w:num w:numId="11">
    <w:abstractNumId w:val="21"/>
  </w:num>
  <w:num w:numId="12">
    <w:abstractNumId w:val="3"/>
  </w:num>
  <w:num w:numId="13">
    <w:abstractNumId w:val="19"/>
  </w:num>
  <w:num w:numId="14">
    <w:abstractNumId w:val="6"/>
  </w:num>
  <w:num w:numId="15">
    <w:abstractNumId w:val="8"/>
  </w:num>
  <w:num w:numId="16">
    <w:abstractNumId w:val="7"/>
  </w:num>
  <w:num w:numId="17">
    <w:abstractNumId w:val="5"/>
  </w:num>
  <w:num w:numId="18">
    <w:abstractNumId w:val="17"/>
  </w:num>
  <w:num w:numId="19">
    <w:abstractNumId w:val="16"/>
  </w:num>
  <w:num w:numId="20">
    <w:abstractNumId w:val="2"/>
  </w:num>
  <w:num w:numId="21">
    <w:abstractNumId w:val="15"/>
  </w:num>
  <w:num w:numId="2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en-AU" w:vendorID="64" w:dllVersion="0" w:nlCheck="1" w:checkStyle="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drawingGridHorizontalSpacing w:val="110"/>
  <w:displayHorizontalDrawingGridEvery w:val="0"/>
  <w:displayVerticalDrawingGridEvery w:val="0"/>
  <w:noPunctuationKerning/>
  <w:characterSpacingControl w:val="doNotCompress"/>
  <w:hdrShapeDefaults>
    <o:shapedefaults v:ext="edit" spidmax="4097">
      <o:colormru v:ext="edit" colors="#ed171f,#686868,#94867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rintLogo" w:val="橄ㄴ펐ڝх찔㈇"/>
  </w:docVars>
  <w:rsids>
    <w:rsidRoot w:val="00F26C0E"/>
    <w:rsid w:val="00006095"/>
    <w:rsid w:val="00006357"/>
    <w:rsid w:val="0000756B"/>
    <w:rsid w:val="0000791A"/>
    <w:rsid w:val="00012B54"/>
    <w:rsid w:val="0001641D"/>
    <w:rsid w:val="00017E18"/>
    <w:rsid w:val="00020602"/>
    <w:rsid w:val="000223A5"/>
    <w:rsid w:val="00026282"/>
    <w:rsid w:val="00031EB9"/>
    <w:rsid w:val="00044948"/>
    <w:rsid w:val="000474AB"/>
    <w:rsid w:val="00051C3D"/>
    <w:rsid w:val="00053B31"/>
    <w:rsid w:val="0005431A"/>
    <w:rsid w:val="00060480"/>
    <w:rsid w:val="00063F46"/>
    <w:rsid w:val="000656E1"/>
    <w:rsid w:val="00072552"/>
    <w:rsid w:val="00074447"/>
    <w:rsid w:val="00074472"/>
    <w:rsid w:val="000919C3"/>
    <w:rsid w:val="000A00D7"/>
    <w:rsid w:val="000A34C6"/>
    <w:rsid w:val="000A6746"/>
    <w:rsid w:val="000B128F"/>
    <w:rsid w:val="000B169A"/>
    <w:rsid w:val="000B4616"/>
    <w:rsid w:val="000C026D"/>
    <w:rsid w:val="000C2724"/>
    <w:rsid w:val="000C3B4E"/>
    <w:rsid w:val="000C447A"/>
    <w:rsid w:val="000C78CE"/>
    <w:rsid w:val="000D6491"/>
    <w:rsid w:val="000D7C38"/>
    <w:rsid w:val="000E0F00"/>
    <w:rsid w:val="000E5127"/>
    <w:rsid w:val="000E739B"/>
    <w:rsid w:val="000E7CE2"/>
    <w:rsid w:val="000F1B9C"/>
    <w:rsid w:val="000F3C8D"/>
    <w:rsid w:val="000F4190"/>
    <w:rsid w:val="00102708"/>
    <w:rsid w:val="00104D12"/>
    <w:rsid w:val="00106200"/>
    <w:rsid w:val="001119DB"/>
    <w:rsid w:val="00113C1F"/>
    <w:rsid w:val="00114007"/>
    <w:rsid w:val="0011405A"/>
    <w:rsid w:val="00116F30"/>
    <w:rsid w:val="001176D2"/>
    <w:rsid w:val="001239EB"/>
    <w:rsid w:val="00123C6C"/>
    <w:rsid w:val="001246BB"/>
    <w:rsid w:val="001261F6"/>
    <w:rsid w:val="00131016"/>
    <w:rsid w:val="00135DA1"/>
    <w:rsid w:val="00136953"/>
    <w:rsid w:val="00140B45"/>
    <w:rsid w:val="001421BC"/>
    <w:rsid w:val="0014284E"/>
    <w:rsid w:val="001458E5"/>
    <w:rsid w:val="00150AC6"/>
    <w:rsid w:val="001531CF"/>
    <w:rsid w:val="00154C57"/>
    <w:rsid w:val="00154E5C"/>
    <w:rsid w:val="00155375"/>
    <w:rsid w:val="00161001"/>
    <w:rsid w:val="00163609"/>
    <w:rsid w:val="001637C5"/>
    <w:rsid w:val="00174CEA"/>
    <w:rsid w:val="00177E7C"/>
    <w:rsid w:val="00186EE7"/>
    <w:rsid w:val="00187B0E"/>
    <w:rsid w:val="00187FAB"/>
    <w:rsid w:val="00195B67"/>
    <w:rsid w:val="001A01B6"/>
    <w:rsid w:val="001A1010"/>
    <w:rsid w:val="001A1445"/>
    <w:rsid w:val="001A15FD"/>
    <w:rsid w:val="001A4889"/>
    <w:rsid w:val="001A7314"/>
    <w:rsid w:val="001A7C7A"/>
    <w:rsid w:val="001B08EA"/>
    <w:rsid w:val="001B1CDA"/>
    <w:rsid w:val="001B3D6F"/>
    <w:rsid w:val="001B604B"/>
    <w:rsid w:val="001C273A"/>
    <w:rsid w:val="001C70A6"/>
    <w:rsid w:val="001C757D"/>
    <w:rsid w:val="001D0A49"/>
    <w:rsid w:val="001D4186"/>
    <w:rsid w:val="001D519B"/>
    <w:rsid w:val="001D75B4"/>
    <w:rsid w:val="001E1081"/>
    <w:rsid w:val="001E3981"/>
    <w:rsid w:val="001E39F1"/>
    <w:rsid w:val="001E503F"/>
    <w:rsid w:val="001E56E5"/>
    <w:rsid w:val="001E698B"/>
    <w:rsid w:val="001F12E3"/>
    <w:rsid w:val="001F47B6"/>
    <w:rsid w:val="001F7430"/>
    <w:rsid w:val="001F7AC8"/>
    <w:rsid w:val="00201677"/>
    <w:rsid w:val="0020647E"/>
    <w:rsid w:val="00211ADE"/>
    <w:rsid w:val="00213C2D"/>
    <w:rsid w:val="00213D3E"/>
    <w:rsid w:val="00220946"/>
    <w:rsid w:val="00221568"/>
    <w:rsid w:val="0022370E"/>
    <w:rsid w:val="0022426D"/>
    <w:rsid w:val="002253D9"/>
    <w:rsid w:val="00226793"/>
    <w:rsid w:val="00233EB0"/>
    <w:rsid w:val="00235830"/>
    <w:rsid w:val="00240984"/>
    <w:rsid w:val="0024098E"/>
    <w:rsid w:val="0024470E"/>
    <w:rsid w:val="0024769A"/>
    <w:rsid w:val="00250E63"/>
    <w:rsid w:val="00253AC7"/>
    <w:rsid w:val="0025477A"/>
    <w:rsid w:val="00254D03"/>
    <w:rsid w:val="00267105"/>
    <w:rsid w:val="00271D0F"/>
    <w:rsid w:val="002755CB"/>
    <w:rsid w:val="002756B1"/>
    <w:rsid w:val="002759FB"/>
    <w:rsid w:val="002840E6"/>
    <w:rsid w:val="002A213E"/>
    <w:rsid w:val="002B038D"/>
    <w:rsid w:val="002B4578"/>
    <w:rsid w:val="002B4978"/>
    <w:rsid w:val="002B4ADB"/>
    <w:rsid w:val="002B61F9"/>
    <w:rsid w:val="002B6396"/>
    <w:rsid w:val="002C18F3"/>
    <w:rsid w:val="002C5673"/>
    <w:rsid w:val="002C6726"/>
    <w:rsid w:val="002D12F3"/>
    <w:rsid w:val="002D5680"/>
    <w:rsid w:val="002D6C90"/>
    <w:rsid w:val="002E04A0"/>
    <w:rsid w:val="002E5FC2"/>
    <w:rsid w:val="002E725B"/>
    <w:rsid w:val="002E7278"/>
    <w:rsid w:val="002E7AF2"/>
    <w:rsid w:val="002F11AE"/>
    <w:rsid w:val="002F37BC"/>
    <w:rsid w:val="002F384A"/>
    <w:rsid w:val="0030240F"/>
    <w:rsid w:val="003042DE"/>
    <w:rsid w:val="0030444A"/>
    <w:rsid w:val="00305C73"/>
    <w:rsid w:val="00305D2D"/>
    <w:rsid w:val="00314BB2"/>
    <w:rsid w:val="003173B8"/>
    <w:rsid w:val="00317A2E"/>
    <w:rsid w:val="003202B4"/>
    <w:rsid w:val="003230B1"/>
    <w:rsid w:val="00323407"/>
    <w:rsid w:val="00324A4A"/>
    <w:rsid w:val="0032575B"/>
    <w:rsid w:val="00327E70"/>
    <w:rsid w:val="0033063F"/>
    <w:rsid w:val="00331250"/>
    <w:rsid w:val="00342E22"/>
    <w:rsid w:val="00345652"/>
    <w:rsid w:val="00345BCC"/>
    <w:rsid w:val="00352BB2"/>
    <w:rsid w:val="00352D14"/>
    <w:rsid w:val="003553AF"/>
    <w:rsid w:val="00357AFD"/>
    <w:rsid w:val="003616D6"/>
    <w:rsid w:val="00361FF4"/>
    <w:rsid w:val="00363125"/>
    <w:rsid w:val="003668DE"/>
    <w:rsid w:val="00370F72"/>
    <w:rsid w:val="00372B0D"/>
    <w:rsid w:val="00385796"/>
    <w:rsid w:val="00394016"/>
    <w:rsid w:val="003A1438"/>
    <w:rsid w:val="003A1B54"/>
    <w:rsid w:val="003A5AE1"/>
    <w:rsid w:val="003A5AFB"/>
    <w:rsid w:val="003A6920"/>
    <w:rsid w:val="003A7E9C"/>
    <w:rsid w:val="003B3CA0"/>
    <w:rsid w:val="003B59B0"/>
    <w:rsid w:val="003B64E1"/>
    <w:rsid w:val="003B6844"/>
    <w:rsid w:val="003B6D7B"/>
    <w:rsid w:val="003C047F"/>
    <w:rsid w:val="003C1442"/>
    <w:rsid w:val="003C4B57"/>
    <w:rsid w:val="003D3177"/>
    <w:rsid w:val="003D5B73"/>
    <w:rsid w:val="003D6EBE"/>
    <w:rsid w:val="003E26E9"/>
    <w:rsid w:val="003E2DA1"/>
    <w:rsid w:val="003E323C"/>
    <w:rsid w:val="003E536F"/>
    <w:rsid w:val="003E5C30"/>
    <w:rsid w:val="003E7BF2"/>
    <w:rsid w:val="003F2A47"/>
    <w:rsid w:val="003F5BCF"/>
    <w:rsid w:val="003F691A"/>
    <w:rsid w:val="003F7CE0"/>
    <w:rsid w:val="004011B1"/>
    <w:rsid w:val="00401CA2"/>
    <w:rsid w:val="004039FF"/>
    <w:rsid w:val="00411DF8"/>
    <w:rsid w:val="00413FAB"/>
    <w:rsid w:val="0041707A"/>
    <w:rsid w:val="00417D8B"/>
    <w:rsid w:val="00422128"/>
    <w:rsid w:val="00422C5C"/>
    <w:rsid w:val="00425B79"/>
    <w:rsid w:val="00442A18"/>
    <w:rsid w:val="00445C64"/>
    <w:rsid w:val="004522D0"/>
    <w:rsid w:val="00453923"/>
    <w:rsid w:val="0046619F"/>
    <w:rsid w:val="004663EF"/>
    <w:rsid w:val="004664D4"/>
    <w:rsid w:val="00467810"/>
    <w:rsid w:val="00470499"/>
    <w:rsid w:val="004725A5"/>
    <w:rsid w:val="004745D1"/>
    <w:rsid w:val="00474D65"/>
    <w:rsid w:val="00481747"/>
    <w:rsid w:val="0048332E"/>
    <w:rsid w:val="0048645D"/>
    <w:rsid w:val="00486647"/>
    <w:rsid w:val="004A2798"/>
    <w:rsid w:val="004A2B06"/>
    <w:rsid w:val="004A5AC8"/>
    <w:rsid w:val="004B757B"/>
    <w:rsid w:val="004C4F4D"/>
    <w:rsid w:val="004C5ECA"/>
    <w:rsid w:val="004D1268"/>
    <w:rsid w:val="004E10BA"/>
    <w:rsid w:val="004E7A4E"/>
    <w:rsid w:val="004F0251"/>
    <w:rsid w:val="004F05D3"/>
    <w:rsid w:val="004F0FD8"/>
    <w:rsid w:val="004F2DB9"/>
    <w:rsid w:val="00502CD9"/>
    <w:rsid w:val="005042A4"/>
    <w:rsid w:val="00504C9E"/>
    <w:rsid w:val="005051D5"/>
    <w:rsid w:val="0050578B"/>
    <w:rsid w:val="005104B6"/>
    <w:rsid w:val="00513A8E"/>
    <w:rsid w:val="005170BE"/>
    <w:rsid w:val="005227D4"/>
    <w:rsid w:val="00530ACF"/>
    <w:rsid w:val="00531450"/>
    <w:rsid w:val="00532FC5"/>
    <w:rsid w:val="005406A9"/>
    <w:rsid w:val="005408FB"/>
    <w:rsid w:val="00546A0D"/>
    <w:rsid w:val="00553BD0"/>
    <w:rsid w:val="005544C5"/>
    <w:rsid w:val="0055520B"/>
    <w:rsid w:val="00556AB6"/>
    <w:rsid w:val="005578C2"/>
    <w:rsid w:val="00561FB9"/>
    <w:rsid w:val="00566948"/>
    <w:rsid w:val="00570485"/>
    <w:rsid w:val="005723FA"/>
    <w:rsid w:val="00573EE6"/>
    <w:rsid w:val="00575038"/>
    <w:rsid w:val="0057620F"/>
    <w:rsid w:val="005811C0"/>
    <w:rsid w:val="00583A82"/>
    <w:rsid w:val="005850EF"/>
    <w:rsid w:val="00585D74"/>
    <w:rsid w:val="00591224"/>
    <w:rsid w:val="005942BA"/>
    <w:rsid w:val="00596790"/>
    <w:rsid w:val="005A5A98"/>
    <w:rsid w:val="005A5E81"/>
    <w:rsid w:val="005B03A4"/>
    <w:rsid w:val="005B46B3"/>
    <w:rsid w:val="005B47D8"/>
    <w:rsid w:val="005B78A5"/>
    <w:rsid w:val="005B78EF"/>
    <w:rsid w:val="005C2B51"/>
    <w:rsid w:val="005C5627"/>
    <w:rsid w:val="005C59F6"/>
    <w:rsid w:val="005C74C2"/>
    <w:rsid w:val="005D01FC"/>
    <w:rsid w:val="005D676C"/>
    <w:rsid w:val="005E2E39"/>
    <w:rsid w:val="005E4A58"/>
    <w:rsid w:val="005E60BE"/>
    <w:rsid w:val="005F0180"/>
    <w:rsid w:val="005F63A9"/>
    <w:rsid w:val="0060336A"/>
    <w:rsid w:val="0060552D"/>
    <w:rsid w:val="00617D69"/>
    <w:rsid w:val="00621DA0"/>
    <w:rsid w:val="00623B6D"/>
    <w:rsid w:val="00630472"/>
    <w:rsid w:val="0063127D"/>
    <w:rsid w:val="0063293E"/>
    <w:rsid w:val="00637A50"/>
    <w:rsid w:val="00644342"/>
    <w:rsid w:val="00645925"/>
    <w:rsid w:val="00646D7C"/>
    <w:rsid w:val="00652F28"/>
    <w:rsid w:val="00654753"/>
    <w:rsid w:val="0066328E"/>
    <w:rsid w:val="00666719"/>
    <w:rsid w:val="006671B3"/>
    <w:rsid w:val="0067354A"/>
    <w:rsid w:val="0067586E"/>
    <w:rsid w:val="006763E9"/>
    <w:rsid w:val="00677EEC"/>
    <w:rsid w:val="006845F6"/>
    <w:rsid w:val="00687885"/>
    <w:rsid w:val="00694FC0"/>
    <w:rsid w:val="0069702B"/>
    <w:rsid w:val="006A23A4"/>
    <w:rsid w:val="006A4993"/>
    <w:rsid w:val="006A5315"/>
    <w:rsid w:val="006B1621"/>
    <w:rsid w:val="006B1B78"/>
    <w:rsid w:val="006B319D"/>
    <w:rsid w:val="006B344E"/>
    <w:rsid w:val="006B5878"/>
    <w:rsid w:val="006B793F"/>
    <w:rsid w:val="006C07DE"/>
    <w:rsid w:val="006C7622"/>
    <w:rsid w:val="006D1675"/>
    <w:rsid w:val="006E5404"/>
    <w:rsid w:val="006E5D19"/>
    <w:rsid w:val="006E75C7"/>
    <w:rsid w:val="006E79D2"/>
    <w:rsid w:val="006E7E4A"/>
    <w:rsid w:val="006F1571"/>
    <w:rsid w:val="006F296D"/>
    <w:rsid w:val="006F446C"/>
    <w:rsid w:val="006F4A60"/>
    <w:rsid w:val="006F58B5"/>
    <w:rsid w:val="006F6443"/>
    <w:rsid w:val="00716B97"/>
    <w:rsid w:val="00716E23"/>
    <w:rsid w:val="007225AE"/>
    <w:rsid w:val="00722C0F"/>
    <w:rsid w:val="00722FCD"/>
    <w:rsid w:val="00730029"/>
    <w:rsid w:val="00735F60"/>
    <w:rsid w:val="0073776E"/>
    <w:rsid w:val="0075491F"/>
    <w:rsid w:val="0075582B"/>
    <w:rsid w:val="0076316D"/>
    <w:rsid w:val="00765106"/>
    <w:rsid w:val="00772871"/>
    <w:rsid w:val="0077729F"/>
    <w:rsid w:val="00780116"/>
    <w:rsid w:val="0078149F"/>
    <w:rsid w:val="007856B8"/>
    <w:rsid w:val="00786532"/>
    <w:rsid w:val="007866FC"/>
    <w:rsid w:val="00790F74"/>
    <w:rsid w:val="0079152F"/>
    <w:rsid w:val="007922CC"/>
    <w:rsid w:val="00794AE9"/>
    <w:rsid w:val="007A0AF5"/>
    <w:rsid w:val="007A13CC"/>
    <w:rsid w:val="007A2720"/>
    <w:rsid w:val="007A2DC3"/>
    <w:rsid w:val="007A3EF8"/>
    <w:rsid w:val="007A46A0"/>
    <w:rsid w:val="007B36B9"/>
    <w:rsid w:val="007B4E6C"/>
    <w:rsid w:val="007C0F8A"/>
    <w:rsid w:val="007C236F"/>
    <w:rsid w:val="007C44FA"/>
    <w:rsid w:val="007E2732"/>
    <w:rsid w:val="007F2185"/>
    <w:rsid w:val="007F309E"/>
    <w:rsid w:val="0080393B"/>
    <w:rsid w:val="00803A21"/>
    <w:rsid w:val="00804490"/>
    <w:rsid w:val="00805F4B"/>
    <w:rsid w:val="008104A2"/>
    <w:rsid w:val="008173A6"/>
    <w:rsid w:val="00821B7A"/>
    <w:rsid w:val="00822B4C"/>
    <w:rsid w:val="008236B7"/>
    <w:rsid w:val="008311A8"/>
    <w:rsid w:val="008323A0"/>
    <w:rsid w:val="00832C66"/>
    <w:rsid w:val="008403EA"/>
    <w:rsid w:val="00843A6B"/>
    <w:rsid w:val="00846A5F"/>
    <w:rsid w:val="00847DDB"/>
    <w:rsid w:val="0085462A"/>
    <w:rsid w:val="00856E1B"/>
    <w:rsid w:val="008601C9"/>
    <w:rsid w:val="00872459"/>
    <w:rsid w:val="00872C78"/>
    <w:rsid w:val="00874B24"/>
    <w:rsid w:val="008825D2"/>
    <w:rsid w:val="0088397F"/>
    <w:rsid w:val="00885B00"/>
    <w:rsid w:val="008867A7"/>
    <w:rsid w:val="00891CDE"/>
    <w:rsid w:val="00893720"/>
    <w:rsid w:val="0089608B"/>
    <w:rsid w:val="008A157F"/>
    <w:rsid w:val="008A5EB1"/>
    <w:rsid w:val="008A6FBB"/>
    <w:rsid w:val="008A7249"/>
    <w:rsid w:val="008B3136"/>
    <w:rsid w:val="008C3BBA"/>
    <w:rsid w:val="008C6BB0"/>
    <w:rsid w:val="008D0711"/>
    <w:rsid w:val="008D0713"/>
    <w:rsid w:val="008D39FC"/>
    <w:rsid w:val="008D42BF"/>
    <w:rsid w:val="008D6E17"/>
    <w:rsid w:val="008E2C19"/>
    <w:rsid w:val="008E5236"/>
    <w:rsid w:val="008E5548"/>
    <w:rsid w:val="008F0BE5"/>
    <w:rsid w:val="008F73C4"/>
    <w:rsid w:val="009002F5"/>
    <w:rsid w:val="00905757"/>
    <w:rsid w:val="00912E8D"/>
    <w:rsid w:val="0091316C"/>
    <w:rsid w:val="009149D2"/>
    <w:rsid w:val="00915A86"/>
    <w:rsid w:val="009161F3"/>
    <w:rsid w:val="009164F9"/>
    <w:rsid w:val="00916E52"/>
    <w:rsid w:val="0092332A"/>
    <w:rsid w:val="00924604"/>
    <w:rsid w:val="00924BAB"/>
    <w:rsid w:val="00925283"/>
    <w:rsid w:val="0092533C"/>
    <w:rsid w:val="00926AC1"/>
    <w:rsid w:val="00927CDA"/>
    <w:rsid w:val="00935631"/>
    <w:rsid w:val="0093791F"/>
    <w:rsid w:val="00942CCC"/>
    <w:rsid w:val="009452E1"/>
    <w:rsid w:val="00957602"/>
    <w:rsid w:val="00961D38"/>
    <w:rsid w:val="009649CB"/>
    <w:rsid w:val="00965625"/>
    <w:rsid w:val="00965A58"/>
    <w:rsid w:val="00966526"/>
    <w:rsid w:val="009714C5"/>
    <w:rsid w:val="009724AD"/>
    <w:rsid w:val="00973321"/>
    <w:rsid w:val="00975657"/>
    <w:rsid w:val="0098006F"/>
    <w:rsid w:val="00981757"/>
    <w:rsid w:val="00984401"/>
    <w:rsid w:val="00991E73"/>
    <w:rsid w:val="00992DF7"/>
    <w:rsid w:val="0099395E"/>
    <w:rsid w:val="009964D4"/>
    <w:rsid w:val="009A2CB2"/>
    <w:rsid w:val="009A2D4C"/>
    <w:rsid w:val="009A3139"/>
    <w:rsid w:val="009A4759"/>
    <w:rsid w:val="009A53E8"/>
    <w:rsid w:val="009A7069"/>
    <w:rsid w:val="009A7AE1"/>
    <w:rsid w:val="009B09B0"/>
    <w:rsid w:val="009B10FE"/>
    <w:rsid w:val="009B166F"/>
    <w:rsid w:val="009B22EC"/>
    <w:rsid w:val="009B2AEE"/>
    <w:rsid w:val="009B3D0F"/>
    <w:rsid w:val="009B4C15"/>
    <w:rsid w:val="009B7128"/>
    <w:rsid w:val="009C0062"/>
    <w:rsid w:val="009C2BA3"/>
    <w:rsid w:val="009D019F"/>
    <w:rsid w:val="009D0A1C"/>
    <w:rsid w:val="009D2091"/>
    <w:rsid w:val="009E08E8"/>
    <w:rsid w:val="009E0B91"/>
    <w:rsid w:val="009E17EF"/>
    <w:rsid w:val="009E1E5F"/>
    <w:rsid w:val="009E345E"/>
    <w:rsid w:val="009E3855"/>
    <w:rsid w:val="009E5101"/>
    <w:rsid w:val="009E5AB9"/>
    <w:rsid w:val="009E71BA"/>
    <w:rsid w:val="009F57B7"/>
    <w:rsid w:val="00A04D2B"/>
    <w:rsid w:val="00A07634"/>
    <w:rsid w:val="00A13736"/>
    <w:rsid w:val="00A15E15"/>
    <w:rsid w:val="00A21D8B"/>
    <w:rsid w:val="00A22469"/>
    <w:rsid w:val="00A225CD"/>
    <w:rsid w:val="00A22A46"/>
    <w:rsid w:val="00A27872"/>
    <w:rsid w:val="00A35321"/>
    <w:rsid w:val="00A37737"/>
    <w:rsid w:val="00A410A7"/>
    <w:rsid w:val="00A4705C"/>
    <w:rsid w:val="00A5043C"/>
    <w:rsid w:val="00A53E40"/>
    <w:rsid w:val="00A5434F"/>
    <w:rsid w:val="00A54EC1"/>
    <w:rsid w:val="00A557B0"/>
    <w:rsid w:val="00A600CC"/>
    <w:rsid w:val="00A60E57"/>
    <w:rsid w:val="00A6168E"/>
    <w:rsid w:val="00A618A7"/>
    <w:rsid w:val="00A6213B"/>
    <w:rsid w:val="00A6232B"/>
    <w:rsid w:val="00A63C6C"/>
    <w:rsid w:val="00A76BE2"/>
    <w:rsid w:val="00A81406"/>
    <w:rsid w:val="00A81AD5"/>
    <w:rsid w:val="00A84F49"/>
    <w:rsid w:val="00A86565"/>
    <w:rsid w:val="00A92980"/>
    <w:rsid w:val="00A92BE2"/>
    <w:rsid w:val="00AA042F"/>
    <w:rsid w:val="00AA2FEC"/>
    <w:rsid w:val="00AA35C5"/>
    <w:rsid w:val="00AA4424"/>
    <w:rsid w:val="00AA4D8B"/>
    <w:rsid w:val="00AB338E"/>
    <w:rsid w:val="00AB6901"/>
    <w:rsid w:val="00AB6B48"/>
    <w:rsid w:val="00AC0679"/>
    <w:rsid w:val="00AC2F78"/>
    <w:rsid w:val="00AC6CA8"/>
    <w:rsid w:val="00AD14DC"/>
    <w:rsid w:val="00AD3E6E"/>
    <w:rsid w:val="00AD42E9"/>
    <w:rsid w:val="00AD5752"/>
    <w:rsid w:val="00AD639C"/>
    <w:rsid w:val="00AF0CC5"/>
    <w:rsid w:val="00AF12CE"/>
    <w:rsid w:val="00AF3598"/>
    <w:rsid w:val="00AF3C4E"/>
    <w:rsid w:val="00AF686F"/>
    <w:rsid w:val="00AF70BE"/>
    <w:rsid w:val="00B01D3C"/>
    <w:rsid w:val="00B02720"/>
    <w:rsid w:val="00B030D5"/>
    <w:rsid w:val="00B145C8"/>
    <w:rsid w:val="00B15E35"/>
    <w:rsid w:val="00B17F9D"/>
    <w:rsid w:val="00B204B7"/>
    <w:rsid w:val="00B23612"/>
    <w:rsid w:val="00B24475"/>
    <w:rsid w:val="00B321DF"/>
    <w:rsid w:val="00B32484"/>
    <w:rsid w:val="00B3475E"/>
    <w:rsid w:val="00B41216"/>
    <w:rsid w:val="00B41F9C"/>
    <w:rsid w:val="00B42E67"/>
    <w:rsid w:val="00B522CA"/>
    <w:rsid w:val="00B56052"/>
    <w:rsid w:val="00B6038D"/>
    <w:rsid w:val="00B60D0B"/>
    <w:rsid w:val="00B63A6A"/>
    <w:rsid w:val="00B64D6C"/>
    <w:rsid w:val="00B667D0"/>
    <w:rsid w:val="00B7319E"/>
    <w:rsid w:val="00B73CF2"/>
    <w:rsid w:val="00B746B6"/>
    <w:rsid w:val="00B773F0"/>
    <w:rsid w:val="00B817F5"/>
    <w:rsid w:val="00B91F9C"/>
    <w:rsid w:val="00B960D0"/>
    <w:rsid w:val="00B965A8"/>
    <w:rsid w:val="00BA79AB"/>
    <w:rsid w:val="00BA7A3A"/>
    <w:rsid w:val="00BB0AE1"/>
    <w:rsid w:val="00BB33A5"/>
    <w:rsid w:val="00BB501A"/>
    <w:rsid w:val="00BB5C1D"/>
    <w:rsid w:val="00BB7225"/>
    <w:rsid w:val="00BC0813"/>
    <w:rsid w:val="00BD2F6E"/>
    <w:rsid w:val="00BE05CD"/>
    <w:rsid w:val="00BF08C9"/>
    <w:rsid w:val="00BF2B4C"/>
    <w:rsid w:val="00BF4822"/>
    <w:rsid w:val="00BF6692"/>
    <w:rsid w:val="00BF6C56"/>
    <w:rsid w:val="00BF78BE"/>
    <w:rsid w:val="00BF7AB7"/>
    <w:rsid w:val="00BF7B03"/>
    <w:rsid w:val="00C02083"/>
    <w:rsid w:val="00C06360"/>
    <w:rsid w:val="00C067F7"/>
    <w:rsid w:val="00C14619"/>
    <w:rsid w:val="00C1521F"/>
    <w:rsid w:val="00C15662"/>
    <w:rsid w:val="00C16824"/>
    <w:rsid w:val="00C20837"/>
    <w:rsid w:val="00C212CC"/>
    <w:rsid w:val="00C216F4"/>
    <w:rsid w:val="00C219DE"/>
    <w:rsid w:val="00C2523D"/>
    <w:rsid w:val="00C25721"/>
    <w:rsid w:val="00C2628B"/>
    <w:rsid w:val="00C300A6"/>
    <w:rsid w:val="00C31CE6"/>
    <w:rsid w:val="00C36C0C"/>
    <w:rsid w:val="00C40FAD"/>
    <w:rsid w:val="00C42CA2"/>
    <w:rsid w:val="00C4538A"/>
    <w:rsid w:val="00C45B62"/>
    <w:rsid w:val="00C47AE7"/>
    <w:rsid w:val="00C500EA"/>
    <w:rsid w:val="00C5316A"/>
    <w:rsid w:val="00C547EF"/>
    <w:rsid w:val="00C56255"/>
    <w:rsid w:val="00C62C4D"/>
    <w:rsid w:val="00C64BE9"/>
    <w:rsid w:val="00C6560A"/>
    <w:rsid w:val="00C66177"/>
    <w:rsid w:val="00C67D21"/>
    <w:rsid w:val="00C763E3"/>
    <w:rsid w:val="00C90E94"/>
    <w:rsid w:val="00C914E7"/>
    <w:rsid w:val="00CA047F"/>
    <w:rsid w:val="00CA06EF"/>
    <w:rsid w:val="00CA0C10"/>
    <w:rsid w:val="00CA1198"/>
    <w:rsid w:val="00CA28C7"/>
    <w:rsid w:val="00CA372A"/>
    <w:rsid w:val="00CA64FB"/>
    <w:rsid w:val="00CA7FA4"/>
    <w:rsid w:val="00CB3F5A"/>
    <w:rsid w:val="00CB5006"/>
    <w:rsid w:val="00CB60B3"/>
    <w:rsid w:val="00CC1B78"/>
    <w:rsid w:val="00CC4A70"/>
    <w:rsid w:val="00CC4A93"/>
    <w:rsid w:val="00CC548E"/>
    <w:rsid w:val="00CD73F8"/>
    <w:rsid w:val="00CE0305"/>
    <w:rsid w:val="00CE1882"/>
    <w:rsid w:val="00CE4461"/>
    <w:rsid w:val="00CF2090"/>
    <w:rsid w:val="00CF6742"/>
    <w:rsid w:val="00D00C11"/>
    <w:rsid w:val="00D03093"/>
    <w:rsid w:val="00D04008"/>
    <w:rsid w:val="00D04DFB"/>
    <w:rsid w:val="00D04E76"/>
    <w:rsid w:val="00D054AB"/>
    <w:rsid w:val="00D0597B"/>
    <w:rsid w:val="00D1012F"/>
    <w:rsid w:val="00D170B6"/>
    <w:rsid w:val="00D20C04"/>
    <w:rsid w:val="00D256B5"/>
    <w:rsid w:val="00D25F6C"/>
    <w:rsid w:val="00D4696A"/>
    <w:rsid w:val="00D513D1"/>
    <w:rsid w:val="00D54E5B"/>
    <w:rsid w:val="00D55E46"/>
    <w:rsid w:val="00D63382"/>
    <w:rsid w:val="00D65CC0"/>
    <w:rsid w:val="00D71EEF"/>
    <w:rsid w:val="00D72B8A"/>
    <w:rsid w:val="00D7634D"/>
    <w:rsid w:val="00D775AE"/>
    <w:rsid w:val="00D80B4E"/>
    <w:rsid w:val="00D81A53"/>
    <w:rsid w:val="00D82F63"/>
    <w:rsid w:val="00D837A9"/>
    <w:rsid w:val="00D84B18"/>
    <w:rsid w:val="00D85987"/>
    <w:rsid w:val="00D85ED5"/>
    <w:rsid w:val="00D9117D"/>
    <w:rsid w:val="00D94405"/>
    <w:rsid w:val="00D944B3"/>
    <w:rsid w:val="00D96E55"/>
    <w:rsid w:val="00DA1C0F"/>
    <w:rsid w:val="00DA4F4E"/>
    <w:rsid w:val="00DC1D55"/>
    <w:rsid w:val="00DC2DA1"/>
    <w:rsid w:val="00DC3815"/>
    <w:rsid w:val="00DC4725"/>
    <w:rsid w:val="00DC495D"/>
    <w:rsid w:val="00DC64C4"/>
    <w:rsid w:val="00DD08F1"/>
    <w:rsid w:val="00DD312D"/>
    <w:rsid w:val="00DD3793"/>
    <w:rsid w:val="00DD45F2"/>
    <w:rsid w:val="00DD4BE5"/>
    <w:rsid w:val="00DD50FB"/>
    <w:rsid w:val="00DD5502"/>
    <w:rsid w:val="00DE29AD"/>
    <w:rsid w:val="00DE3154"/>
    <w:rsid w:val="00DF1598"/>
    <w:rsid w:val="00DF2E4C"/>
    <w:rsid w:val="00E0219C"/>
    <w:rsid w:val="00E03C63"/>
    <w:rsid w:val="00E0493C"/>
    <w:rsid w:val="00E10C85"/>
    <w:rsid w:val="00E319CB"/>
    <w:rsid w:val="00E31E7C"/>
    <w:rsid w:val="00E33CE7"/>
    <w:rsid w:val="00E348A7"/>
    <w:rsid w:val="00E35FC6"/>
    <w:rsid w:val="00E379F9"/>
    <w:rsid w:val="00E410CA"/>
    <w:rsid w:val="00E432C3"/>
    <w:rsid w:val="00E44E2E"/>
    <w:rsid w:val="00E44E62"/>
    <w:rsid w:val="00E46B30"/>
    <w:rsid w:val="00E561CF"/>
    <w:rsid w:val="00E56733"/>
    <w:rsid w:val="00E604E3"/>
    <w:rsid w:val="00E623E8"/>
    <w:rsid w:val="00E67EE9"/>
    <w:rsid w:val="00E702BA"/>
    <w:rsid w:val="00E7094E"/>
    <w:rsid w:val="00E7264B"/>
    <w:rsid w:val="00E73DD9"/>
    <w:rsid w:val="00E809D8"/>
    <w:rsid w:val="00E80F62"/>
    <w:rsid w:val="00E9206F"/>
    <w:rsid w:val="00E97FCF"/>
    <w:rsid w:val="00EA4EB1"/>
    <w:rsid w:val="00EA6E4E"/>
    <w:rsid w:val="00EB1D02"/>
    <w:rsid w:val="00EC1366"/>
    <w:rsid w:val="00EC7294"/>
    <w:rsid w:val="00EC736F"/>
    <w:rsid w:val="00ED1BB3"/>
    <w:rsid w:val="00EE0E2A"/>
    <w:rsid w:val="00EE1511"/>
    <w:rsid w:val="00EE31DB"/>
    <w:rsid w:val="00EE4FF0"/>
    <w:rsid w:val="00EE6F2B"/>
    <w:rsid w:val="00EF6C2C"/>
    <w:rsid w:val="00F0068B"/>
    <w:rsid w:val="00F008B4"/>
    <w:rsid w:val="00F03B92"/>
    <w:rsid w:val="00F0431E"/>
    <w:rsid w:val="00F044F5"/>
    <w:rsid w:val="00F04D70"/>
    <w:rsid w:val="00F10DB3"/>
    <w:rsid w:val="00F13126"/>
    <w:rsid w:val="00F20E9E"/>
    <w:rsid w:val="00F22B32"/>
    <w:rsid w:val="00F257EF"/>
    <w:rsid w:val="00F26C0E"/>
    <w:rsid w:val="00F3288E"/>
    <w:rsid w:val="00F34507"/>
    <w:rsid w:val="00F3589E"/>
    <w:rsid w:val="00F37170"/>
    <w:rsid w:val="00F42706"/>
    <w:rsid w:val="00F5000D"/>
    <w:rsid w:val="00F51FB7"/>
    <w:rsid w:val="00F52768"/>
    <w:rsid w:val="00F530CA"/>
    <w:rsid w:val="00F62F94"/>
    <w:rsid w:val="00F6539C"/>
    <w:rsid w:val="00F74A30"/>
    <w:rsid w:val="00F75B83"/>
    <w:rsid w:val="00F76849"/>
    <w:rsid w:val="00F833DA"/>
    <w:rsid w:val="00F87351"/>
    <w:rsid w:val="00F87830"/>
    <w:rsid w:val="00FA670E"/>
    <w:rsid w:val="00FA7C3B"/>
    <w:rsid w:val="00FB0AE8"/>
    <w:rsid w:val="00FB72A1"/>
    <w:rsid w:val="00FB7BA6"/>
    <w:rsid w:val="00FB7CF5"/>
    <w:rsid w:val="00FC09D2"/>
    <w:rsid w:val="00FC11DB"/>
    <w:rsid w:val="00FC1B72"/>
    <w:rsid w:val="00FD14FB"/>
    <w:rsid w:val="00FD3EAA"/>
    <w:rsid w:val="00FD4B46"/>
    <w:rsid w:val="00FD57C7"/>
    <w:rsid w:val="00FE375F"/>
    <w:rsid w:val="00FE45D8"/>
    <w:rsid w:val="00FE6CF5"/>
    <w:rsid w:val="00FF2A6C"/>
    <w:rsid w:val="00FF4E9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d171f,#686868,#948671"/>
    </o:shapedefaults>
    <o:shapelayout v:ext="edit">
      <o:idmap v:ext="edit" data="1"/>
    </o:shapelayout>
  </w:shapeDefaults>
  <w:decimalSymbol w:val="."/>
  <w:listSeparator w:val=","/>
  <w14:docId w14:val="5A474EC3"/>
  <w15:docId w15:val="{742F630A-BC6D-415B-A0A8-847E3BBA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1511"/>
    <w:rPr>
      <w:rFonts w:asciiTheme="minorHAnsi" w:hAnsiTheme="minorHAnsi"/>
    </w:rPr>
  </w:style>
  <w:style w:type="paragraph" w:styleId="Heading1">
    <w:name w:val="heading 1"/>
    <w:basedOn w:val="BodyText"/>
    <w:next w:val="BodyText"/>
    <w:autoRedefine/>
    <w:qFormat/>
    <w:rsid w:val="007856B8"/>
    <w:pPr>
      <w:numPr>
        <w:numId w:val="1"/>
      </w:numPr>
      <w:spacing w:before="240"/>
      <w:ind w:left="357" w:hanging="357"/>
      <w:outlineLvl w:val="0"/>
    </w:pPr>
  </w:style>
  <w:style w:type="paragraph" w:styleId="Heading2">
    <w:name w:val="heading 2"/>
    <w:basedOn w:val="Heading1"/>
    <w:next w:val="BodyText"/>
    <w:autoRedefine/>
    <w:qFormat/>
    <w:rsid w:val="002C18F3"/>
    <w:pPr>
      <w:numPr>
        <w:ilvl w:val="1"/>
      </w:numPr>
      <w:spacing w:before="120"/>
      <w:ind w:left="578" w:hanging="578"/>
      <w:outlineLvl w:val="1"/>
    </w:pPr>
  </w:style>
  <w:style w:type="paragraph" w:styleId="Heading3">
    <w:name w:val="heading 3"/>
    <w:basedOn w:val="Heading1"/>
    <w:next w:val="BodyText"/>
    <w:autoRedefine/>
    <w:qFormat/>
    <w:rsid w:val="00CA0C10"/>
    <w:pPr>
      <w:numPr>
        <w:ilvl w:val="2"/>
      </w:numPr>
      <w:spacing w:before="120"/>
      <w:outlineLvl w:val="2"/>
    </w:pPr>
  </w:style>
  <w:style w:type="paragraph" w:styleId="Heading4">
    <w:name w:val="heading 4"/>
    <w:basedOn w:val="Heading1"/>
    <w:next w:val="BodyText"/>
    <w:link w:val="Heading4Char"/>
    <w:autoRedefine/>
    <w:unhideWhenUsed/>
    <w:qFormat/>
    <w:rsid w:val="00CA0C10"/>
    <w:pPr>
      <w:numPr>
        <w:ilvl w:val="3"/>
      </w:numPr>
      <w:spacing w:before="120"/>
      <w:ind w:left="862" w:hanging="862"/>
      <w:outlineLvl w:val="3"/>
    </w:pPr>
  </w:style>
  <w:style w:type="paragraph" w:styleId="Heading5">
    <w:name w:val="heading 5"/>
    <w:basedOn w:val="Normal"/>
    <w:next w:val="Normal"/>
    <w:link w:val="Heading5Char"/>
    <w:semiHidden/>
    <w:unhideWhenUsed/>
    <w:qFormat/>
    <w:rsid w:val="00F22B32"/>
    <w:pPr>
      <w:keepNext/>
      <w:keepLines/>
      <w:numPr>
        <w:ilvl w:val="4"/>
        <w:numId w:val="1"/>
      </w:numPr>
      <w:spacing w:before="200"/>
      <w:outlineLvl w:val="4"/>
    </w:pPr>
    <w:rPr>
      <w:rFonts w:asciiTheme="majorHAnsi" w:eastAsiaTheme="majorEastAsia" w:hAnsiTheme="majorHAnsi" w:cstheme="majorBidi"/>
      <w:color w:val="0F2031" w:themeColor="accent1" w:themeShade="7F"/>
    </w:rPr>
  </w:style>
  <w:style w:type="paragraph" w:styleId="Heading6">
    <w:name w:val="heading 6"/>
    <w:basedOn w:val="Normal"/>
    <w:next w:val="Normal"/>
    <w:link w:val="Heading6Char"/>
    <w:semiHidden/>
    <w:unhideWhenUsed/>
    <w:qFormat/>
    <w:rsid w:val="00F22B32"/>
    <w:pPr>
      <w:keepNext/>
      <w:keepLines/>
      <w:numPr>
        <w:ilvl w:val="5"/>
        <w:numId w:val="1"/>
      </w:numPr>
      <w:spacing w:before="200"/>
      <w:outlineLvl w:val="5"/>
    </w:pPr>
    <w:rPr>
      <w:rFonts w:asciiTheme="majorHAnsi" w:eastAsiaTheme="majorEastAsia" w:hAnsiTheme="majorHAnsi" w:cstheme="majorBidi"/>
      <w:i/>
      <w:iCs/>
      <w:color w:val="0F2031" w:themeColor="accent1" w:themeShade="7F"/>
    </w:rPr>
  </w:style>
  <w:style w:type="paragraph" w:styleId="Heading7">
    <w:name w:val="heading 7"/>
    <w:basedOn w:val="Normal"/>
    <w:next w:val="Normal"/>
    <w:link w:val="Heading7Char"/>
    <w:semiHidden/>
    <w:unhideWhenUsed/>
    <w:qFormat/>
    <w:rsid w:val="00F22B3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22B32"/>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BodyText"/>
    <w:next w:val="Normal"/>
    <w:link w:val="Heading9Char"/>
    <w:unhideWhenUsed/>
    <w:rsid w:val="0075491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4008"/>
    <w:pPr>
      <w:tabs>
        <w:tab w:val="center" w:pos="4153"/>
        <w:tab w:val="right" w:pos="8306"/>
      </w:tabs>
    </w:pPr>
  </w:style>
  <w:style w:type="paragraph" w:styleId="Footer">
    <w:name w:val="footer"/>
    <w:basedOn w:val="Normal"/>
    <w:link w:val="FooterChar"/>
    <w:uiPriority w:val="99"/>
    <w:rsid w:val="00140B45"/>
    <w:pPr>
      <w:pBdr>
        <w:top w:val="single" w:sz="4" w:space="1" w:color="948671"/>
      </w:pBdr>
      <w:tabs>
        <w:tab w:val="right" w:pos="9072"/>
      </w:tabs>
      <w:spacing w:line="180" w:lineRule="exact"/>
    </w:pPr>
    <w:rPr>
      <w:caps/>
      <w:color w:val="948671"/>
      <w:sz w:val="15"/>
    </w:rPr>
  </w:style>
  <w:style w:type="paragraph" w:styleId="ListBullet">
    <w:name w:val="List Bullet"/>
    <w:basedOn w:val="BodyText"/>
    <w:rsid w:val="001531CF"/>
    <w:pPr>
      <w:numPr>
        <w:numId w:val="2"/>
      </w:numPr>
    </w:pPr>
  </w:style>
  <w:style w:type="character" w:styleId="PlaceholderText">
    <w:name w:val="Placeholder Text"/>
    <w:basedOn w:val="DefaultParagraphFont"/>
    <w:semiHidden/>
    <w:rsid w:val="00570485"/>
    <w:rPr>
      <w:color w:val="808080"/>
    </w:rPr>
  </w:style>
  <w:style w:type="paragraph" w:styleId="ListBullet2">
    <w:name w:val="List Bullet 2"/>
    <w:basedOn w:val="ListBullet"/>
    <w:rsid w:val="001531CF"/>
    <w:pPr>
      <w:numPr>
        <w:numId w:val="6"/>
      </w:numPr>
    </w:pPr>
  </w:style>
  <w:style w:type="paragraph" w:styleId="ListBullet3">
    <w:name w:val="List Bullet 3"/>
    <w:basedOn w:val="ListBullet"/>
    <w:rsid w:val="001531CF"/>
    <w:pPr>
      <w:numPr>
        <w:numId w:val="7"/>
      </w:numPr>
    </w:pPr>
  </w:style>
  <w:style w:type="paragraph" w:styleId="ListNumber">
    <w:name w:val="List Number"/>
    <w:basedOn w:val="BodyText"/>
    <w:uiPriority w:val="99"/>
    <w:rsid w:val="001531CF"/>
    <w:pPr>
      <w:numPr>
        <w:numId w:val="3"/>
      </w:numPr>
    </w:pPr>
  </w:style>
  <w:style w:type="paragraph" w:styleId="ListNumber2">
    <w:name w:val="List Number 2"/>
    <w:basedOn w:val="ListNumber"/>
    <w:uiPriority w:val="99"/>
    <w:rsid w:val="001531CF"/>
    <w:pPr>
      <w:numPr>
        <w:numId w:val="4"/>
      </w:numPr>
    </w:pPr>
  </w:style>
  <w:style w:type="paragraph" w:styleId="ListNumber3">
    <w:name w:val="List Number 3"/>
    <w:basedOn w:val="ListNumber"/>
    <w:uiPriority w:val="99"/>
    <w:rsid w:val="001531CF"/>
    <w:pPr>
      <w:numPr>
        <w:numId w:val="5"/>
      </w:numPr>
    </w:pPr>
  </w:style>
  <w:style w:type="table" w:styleId="TableGrid">
    <w:name w:val="Table Grid"/>
    <w:basedOn w:val="TableNormal"/>
    <w:rsid w:val="002C56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140B45"/>
    <w:rPr>
      <w:rFonts w:asciiTheme="minorHAnsi" w:hAnsiTheme="minorHAnsi"/>
      <w:caps/>
      <w:color w:val="948671"/>
      <w:sz w:val="15"/>
    </w:rPr>
  </w:style>
  <w:style w:type="paragraph" w:styleId="Title">
    <w:name w:val="Title"/>
    <w:basedOn w:val="BodyText"/>
    <w:next w:val="BodyText"/>
    <w:link w:val="TitleChar"/>
    <w:qFormat/>
    <w:rsid w:val="0075491F"/>
    <w:pPr>
      <w:ind w:left="851" w:hanging="851"/>
    </w:pPr>
    <w:rPr>
      <w:color w:val="1E4164" w:themeColor="accent1"/>
      <w:sz w:val="36"/>
      <w:szCs w:val="36"/>
    </w:rPr>
  </w:style>
  <w:style w:type="character" w:customStyle="1" w:styleId="TitleChar">
    <w:name w:val="Title Char"/>
    <w:basedOn w:val="DefaultParagraphFont"/>
    <w:link w:val="Title"/>
    <w:rsid w:val="0075491F"/>
    <w:rPr>
      <w:rFonts w:asciiTheme="minorHAnsi" w:hAnsiTheme="minorHAnsi"/>
      <w:color w:val="1E4164" w:themeColor="accent1"/>
      <w:sz w:val="36"/>
      <w:szCs w:val="36"/>
    </w:rPr>
  </w:style>
  <w:style w:type="character" w:customStyle="1" w:styleId="Heading4Char">
    <w:name w:val="Heading 4 Char"/>
    <w:basedOn w:val="DefaultParagraphFont"/>
    <w:link w:val="Heading4"/>
    <w:rsid w:val="00CA0C10"/>
    <w:rPr>
      <w:rFonts w:asciiTheme="minorHAnsi" w:hAnsiTheme="minorHAnsi"/>
      <w:sz w:val="22"/>
    </w:rPr>
  </w:style>
  <w:style w:type="character" w:customStyle="1" w:styleId="Heading5Char">
    <w:name w:val="Heading 5 Char"/>
    <w:basedOn w:val="DefaultParagraphFont"/>
    <w:link w:val="Heading5"/>
    <w:semiHidden/>
    <w:rsid w:val="00F22B32"/>
    <w:rPr>
      <w:rFonts w:asciiTheme="majorHAnsi" w:eastAsiaTheme="majorEastAsia" w:hAnsiTheme="majorHAnsi" w:cstheme="majorBidi"/>
      <w:color w:val="0F2031" w:themeColor="accent1" w:themeShade="7F"/>
    </w:rPr>
  </w:style>
  <w:style w:type="character" w:customStyle="1" w:styleId="Heading6Char">
    <w:name w:val="Heading 6 Char"/>
    <w:basedOn w:val="DefaultParagraphFont"/>
    <w:link w:val="Heading6"/>
    <w:semiHidden/>
    <w:rsid w:val="00F22B32"/>
    <w:rPr>
      <w:rFonts w:asciiTheme="majorHAnsi" w:eastAsiaTheme="majorEastAsia" w:hAnsiTheme="majorHAnsi" w:cstheme="majorBidi"/>
      <w:i/>
      <w:iCs/>
      <w:color w:val="0F2031" w:themeColor="accent1" w:themeShade="7F"/>
    </w:rPr>
  </w:style>
  <w:style w:type="character" w:customStyle="1" w:styleId="Heading7Char">
    <w:name w:val="Heading 7 Char"/>
    <w:basedOn w:val="DefaultParagraphFont"/>
    <w:link w:val="Heading7"/>
    <w:semiHidden/>
    <w:rsid w:val="00F22B3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F22B3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75491F"/>
    <w:rPr>
      <w:rFonts w:asciiTheme="minorHAnsi" w:hAnsiTheme="minorHAnsi"/>
      <w:sz w:val="22"/>
    </w:rPr>
  </w:style>
  <w:style w:type="paragraph" w:styleId="BodyText">
    <w:name w:val="Body Text"/>
    <w:basedOn w:val="Normal"/>
    <w:link w:val="BodyTextChar"/>
    <w:rsid w:val="00331250"/>
    <w:pPr>
      <w:spacing w:before="120" w:after="120"/>
    </w:pPr>
    <w:rPr>
      <w:sz w:val="22"/>
    </w:rPr>
  </w:style>
  <w:style w:type="character" w:customStyle="1" w:styleId="BodyTextChar">
    <w:name w:val="Body Text Char"/>
    <w:basedOn w:val="DefaultParagraphFont"/>
    <w:link w:val="BodyText"/>
    <w:rsid w:val="00331250"/>
    <w:rPr>
      <w:rFonts w:asciiTheme="minorHAnsi" w:hAnsiTheme="minorHAnsi"/>
      <w:sz w:val="22"/>
    </w:rPr>
  </w:style>
  <w:style w:type="table" w:customStyle="1" w:styleId="AEMO09Tablestyle">
    <w:name w:val="AEMO09 Table style"/>
    <w:basedOn w:val="TableNormal"/>
    <w:uiPriority w:val="99"/>
    <w:qFormat/>
    <w:rsid w:val="00E31E7C"/>
    <w:pPr>
      <w:spacing w:before="60" w:after="60"/>
    </w:pPr>
    <w:rPr>
      <w:rFonts w:ascii="Arial" w:hAnsi="Arial"/>
      <w:color w:val="1E4164" w:themeColor="accent1"/>
      <w:sz w:val="21"/>
    </w:rPr>
    <w:tblPr>
      <w:tblBorders>
        <w:top w:val="single" w:sz="4" w:space="0" w:color="948671"/>
        <w:left w:val="single" w:sz="4" w:space="0" w:color="948671"/>
        <w:bottom w:val="single" w:sz="4" w:space="0" w:color="948671"/>
        <w:right w:val="single" w:sz="4" w:space="0" w:color="948671"/>
        <w:insideH w:val="single" w:sz="4" w:space="0" w:color="948671"/>
        <w:insideV w:val="single" w:sz="4" w:space="0" w:color="948671"/>
      </w:tblBorders>
    </w:tblPr>
    <w:tcPr>
      <w:vAlign w:val="center"/>
    </w:tcPr>
  </w:style>
  <w:style w:type="character" w:customStyle="1" w:styleId="Bold">
    <w:name w:val="Bold"/>
    <w:qFormat/>
    <w:rsid w:val="00372B0D"/>
    <w:rPr>
      <w:b/>
    </w:rPr>
  </w:style>
  <w:style w:type="table" w:customStyle="1" w:styleId="BasicAEMOTable">
    <w:name w:val="Basic AEMO Table"/>
    <w:basedOn w:val="TableNormal"/>
    <w:uiPriority w:val="99"/>
    <w:qFormat/>
    <w:rsid w:val="001E39F1"/>
    <w:pPr>
      <w:spacing w:before="60" w:after="6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paragraph" w:customStyle="1" w:styleId="Signatureblock">
    <w:name w:val="Signature block"/>
    <w:basedOn w:val="BodyText"/>
    <w:next w:val="BodyText"/>
    <w:qFormat/>
    <w:rsid w:val="0075491F"/>
    <w:pPr>
      <w:spacing w:before="0" w:after="0"/>
    </w:pPr>
  </w:style>
  <w:style w:type="paragraph" w:customStyle="1" w:styleId="DataStyle">
    <w:name w:val="Data Style"/>
    <w:basedOn w:val="BodyText"/>
    <w:next w:val="BodyText"/>
    <w:qFormat/>
    <w:rsid w:val="00E31E7C"/>
    <w:rPr>
      <w:caps/>
      <w:color w:val="1E4164" w:themeColor="accent1"/>
      <w:sz w:val="21"/>
    </w:rPr>
  </w:style>
  <w:style w:type="paragraph" w:customStyle="1" w:styleId="LineSpacing">
    <w:name w:val="Line Spacing"/>
    <w:basedOn w:val="BodyText"/>
    <w:qFormat/>
    <w:rsid w:val="002C18F3"/>
    <w:pPr>
      <w:spacing w:after="240"/>
    </w:pPr>
  </w:style>
  <w:style w:type="paragraph" w:customStyle="1" w:styleId="FooterFirstPage">
    <w:name w:val="Footer First Page"/>
    <w:basedOn w:val="Footer"/>
    <w:next w:val="BodyText"/>
    <w:qFormat/>
    <w:rsid w:val="00C212CC"/>
    <w:pPr>
      <w:tabs>
        <w:tab w:val="clear" w:pos="9072"/>
        <w:tab w:val="left" w:pos="0"/>
        <w:tab w:val="left" w:pos="8902"/>
        <w:tab w:val="left" w:pos="8931"/>
      </w:tabs>
    </w:pPr>
  </w:style>
  <w:style w:type="paragraph" w:styleId="BalloonText">
    <w:name w:val="Balloon Text"/>
    <w:basedOn w:val="Normal"/>
    <w:link w:val="BalloonTextChar"/>
    <w:rsid w:val="00CA1198"/>
    <w:rPr>
      <w:rFonts w:ascii="Tahoma" w:hAnsi="Tahoma" w:cs="Tahoma"/>
      <w:sz w:val="16"/>
      <w:szCs w:val="16"/>
    </w:rPr>
  </w:style>
  <w:style w:type="character" w:customStyle="1" w:styleId="BalloonTextChar">
    <w:name w:val="Balloon Text Char"/>
    <w:basedOn w:val="DefaultParagraphFont"/>
    <w:link w:val="BalloonText"/>
    <w:rsid w:val="00CA1198"/>
    <w:rPr>
      <w:rFonts w:ascii="Tahoma" w:hAnsi="Tahoma" w:cs="Tahoma"/>
      <w:sz w:val="16"/>
      <w:szCs w:val="16"/>
    </w:rPr>
  </w:style>
  <w:style w:type="character" w:styleId="CommentReference">
    <w:name w:val="annotation reference"/>
    <w:basedOn w:val="DefaultParagraphFont"/>
    <w:semiHidden/>
    <w:unhideWhenUsed/>
    <w:rsid w:val="003E5C30"/>
    <w:rPr>
      <w:sz w:val="16"/>
      <w:szCs w:val="16"/>
    </w:rPr>
  </w:style>
  <w:style w:type="paragraph" w:styleId="CommentText">
    <w:name w:val="annotation text"/>
    <w:basedOn w:val="Normal"/>
    <w:link w:val="CommentTextChar"/>
    <w:unhideWhenUsed/>
    <w:rsid w:val="003E5C30"/>
  </w:style>
  <w:style w:type="character" w:customStyle="1" w:styleId="CommentTextChar">
    <w:name w:val="Comment Text Char"/>
    <w:basedOn w:val="DefaultParagraphFont"/>
    <w:link w:val="CommentText"/>
    <w:rsid w:val="003E5C30"/>
    <w:rPr>
      <w:rFonts w:asciiTheme="minorHAnsi" w:hAnsiTheme="minorHAnsi"/>
    </w:rPr>
  </w:style>
  <w:style w:type="paragraph" w:styleId="CommentSubject">
    <w:name w:val="annotation subject"/>
    <w:basedOn w:val="CommentText"/>
    <w:next w:val="CommentText"/>
    <w:link w:val="CommentSubjectChar"/>
    <w:semiHidden/>
    <w:unhideWhenUsed/>
    <w:rsid w:val="003E5C30"/>
    <w:rPr>
      <w:b/>
      <w:bCs/>
    </w:rPr>
  </w:style>
  <w:style w:type="character" w:customStyle="1" w:styleId="CommentSubjectChar">
    <w:name w:val="Comment Subject Char"/>
    <w:basedOn w:val="CommentTextChar"/>
    <w:link w:val="CommentSubject"/>
    <w:semiHidden/>
    <w:rsid w:val="003E5C30"/>
    <w:rPr>
      <w:rFonts w:asciiTheme="minorHAnsi" w:hAnsiTheme="minorHAnsi"/>
      <w:b/>
      <w:bCs/>
    </w:rPr>
  </w:style>
  <w:style w:type="paragraph" w:styleId="ListParagraph">
    <w:name w:val="List Paragraph"/>
    <w:basedOn w:val="Normal"/>
    <w:uiPriority w:val="34"/>
    <w:qFormat/>
    <w:rsid w:val="005D676C"/>
    <w:pPr>
      <w:ind w:left="720"/>
    </w:pPr>
    <w:rPr>
      <w:rFonts w:ascii="Calibri" w:eastAsiaTheme="minorHAnsi" w:hAnsi="Calibri"/>
      <w:sz w:val="22"/>
      <w:szCs w:val="22"/>
      <w:lang w:eastAsia="en-US"/>
    </w:rPr>
  </w:style>
  <w:style w:type="paragraph" w:styleId="FootnoteText">
    <w:name w:val="footnote text"/>
    <w:basedOn w:val="Normal"/>
    <w:link w:val="FootnoteTextChar"/>
    <w:unhideWhenUsed/>
    <w:rsid w:val="00AD14DC"/>
  </w:style>
  <w:style w:type="character" w:customStyle="1" w:styleId="FootnoteTextChar">
    <w:name w:val="Footnote Text Char"/>
    <w:basedOn w:val="DefaultParagraphFont"/>
    <w:link w:val="FootnoteText"/>
    <w:rsid w:val="00AD14DC"/>
    <w:rPr>
      <w:rFonts w:asciiTheme="minorHAnsi" w:hAnsiTheme="minorHAnsi"/>
    </w:rPr>
  </w:style>
  <w:style w:type="character" w:styleId="FootnoteReference">
    <w:name w:val="footnote reference"/>
    <w:basedOn w:val="DefaultParagraphFont"/>
    <w:semiHidden/>
    <w:unhideWhenUsed/>
    <w:rsid w:val="00AD14DC"/>
    <w:rPr>
      <w:vertAlign w:val="superscript"/>
    </w:rPr>
  </w:style>
  <w:style w:type="paragraph" w:styleId="NormalWeb">
    <w:name w:val="Normal (Web)"/>
    <w:basedOn w:val="Normal"/>
    <w:uiPriority w:val="99"/>
    <w:semiHidden/>
    <w:unhideWhenUsed/>
    <w:rsid w:val="00CE1882"/>
    <w:pPr>
      <w:spacing w:before="100" w:beforeAutospacing="1" w:after="100" w:afterAutospacing="1"/>
    </w:pPr>
    <w:rPr>
      <w:rFonts w:ascii="Times New Roman" w:eastAsiaTheme="minorHAnsi" w:hAnsi="Times New Roman"/>
      <w:sz w:val="24"/>
      <w:szCs w:val="24"/>
    </w:rPr>
  </w:style>
  <w:style w:type="character" w:styleId="Hyperlink">
    <w:name w:val="Hyperlink"/>
    <w:basedOn w:val="DefaultParagraphFont"/>
    <w:unhideWhenUsed/>
    <w:rsid w:val="007B36B9"/>
    <w:rPr>
      <w:color w:val="CB7E80" w:themeColor="hyperlink"/>
      <w:u w:val="single"/>
    </w:rPr>
  </w:style>
  <w:style w:type="paragraph" w:styleId="Revision">
    <w:name w:val="Revision"/>
    <w:hidden/>
    <w:uiPriority w:val="99"/>
    <w:semiHidden/>
    <w:rsid w:val="00EA4EB1"/>
    <w:rPr>
      <w:rFonts w:asciiTheme="minorHAnsi" w:hAnsiTheme="minorHAnsi"/>
    </w:rPr>
  </w:style>
  <w:style w:type="paragraph" w:customStyle="1" w:styleId="Default">
    <w:name w:val="Default"/>
    <w:rsid w:val="00B56052"/>
    <w:pPr>
      <w:autoSpaceDE w:val="0"/>
      <w:autoSpaceDN w:val="0"/>
      <w:adjustRightInd w:val="0"/>
    </w:pPr>
    <w:rPr>
      <w:rFonts w:ascii="Book Antiqua" w:eastAsiaTheme="minorHAnsi" w:hAnsi="Book Antiqua" w:cs="Book Antiqu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4342">
      <w:bodyDiv w:val="1"/>
      <w:marLeft w:val="0"/>
      <w:marRight w:val="0"/>
      <w:marTop w:val="0"/>
      <w:marBottom w:val="0"/>
      <w:divBdr>
        <w:top w:val="none" w:sz="0" w:space="0" w:color="auto"/>
        <w:left w:val="none" w:sz="0" w:space="0" w:color="auto"/>
        <w:bottom w:val="none" w:sz="0" w:space="0" w:color="auto"/>
        <w:right w:val="none" w:sz="0" w:space="0" w:color="auto"/>
      </w:divBdr>
      <w:divsChild>
        <w:div w:id="391540331">
          <w:marLeft w:val="360"/>
          <w:marRight w:val="0"/>
          <w:marTop w:val="200"/>
          <w:marBottom w:val="0"/>
          <w:divBdr>
            <w:top w:val="none" w:sz="0" w:space="0" w:color="auto"/>
            <w:left w:val="none" w:sz="0" w:space="0" w:color="auto"/>
            <w:bottom w:val="none" w:sz="0" w:space="0" w:color="auto"/>
            <w:right w:val="none" w:sz="0" w:space="0" w:color="auto"/>
          </w:divBdr>
        </w:div>
        <w:div w:id="2001152395">
          <w:marLeft w:val="360"/>
          <w:marRight w:val="0"/>
          <w:marTop w:val="200"/>
          <w:marBottom w:val="0"/>
          <w:divBdr>
            <w:top w:val="none" w:sz="0" w:space="0" w:color="auto"/>
            <w:left w:val="none" w:sz="0" w:space="0" w:color="auto"/>
            <w:bottom w:val="none" w:sz="0" w:space="0" w:color="auto"/>
            <w:right w:val="none" w:sz="0" w:space="0" w:color="auto"/>
          </w:divBdr>
        </w:div>
        <w:div w:id="1403793572">
          <w:marLeft w:val="360"/>
          <w:marRight w:val="0"/>
          <w:marTop w:val="200"/>
          <w:marBottom w:val="0"/>
          <w:divBdr>
            <w:top w:val="none" w:sz="0" w:space="0" w:color="auto"/>
            <w:left w:val="none" w:sz="0" w:space="0" w:color="auto"/>
            <w:bottom w:val="none" w:sz="0" w:space="0" w:color="auto"/>
            <w:right w:val="none" w:sz="0" w:space="0" w:color="auto"/>
          </w:divBdr>
        </w:div>
        <w:div w:id="427119875">
          <w:marLeft w:val="360"/>
          <w:marRight w:val="0"/>
          <w:marTop w:val="200"/>
          <w:marBottom w:val="0"/>
          <w:divBdr>
            <w:top w:val="none" w:sz="0" w:space="0" w:color="auto"/>
            <w:left w:val="none" w:sz="0" w:space="0" w:color="auto"/>
            <w:bottom w:val="none" w:sz="0" w:space="0" w:color="auto"/>
            <w:right w:val="none" w:sz="0" w:space="0" w:color="auto"/>
          </w:divBdr>
        </w:div>
        <w:div w:id="1877087108">
          <w:marLeft w:val="360"/>
          <w:marRight w:val="0"/>
          <w:marTop w:val="200"/>
          <w:marBottom w:val="0"/>
          <w:divBdr>
            <w:top w:val="none" w:sz="0" w:space="0" w:color="auto"/>
            <w:left w:val="none" w:sz="0" w:space="0" w:color="auto"/>
            <w:bottom w:val="none" w:sz="0" w:space="0" w:color="auto"/>
            <w:right w:val="none" w:sz="0" w:space="0" w:color="auto"/>
          </w:divBdr>
        </w:div>
        <w:div w:id="77681188">
          <w:marLeft w:val="360"/>
          <w:marRight w:val="0"/>
          <w:marTop w:val="200"/>
          <w:marBottom w:val="0"/>
          <w:divBdr>
            <w:top w:val="none" w:sz="0" w:space="0" w:color="auto"/>
            <w:left w:val="none" w:sz="0" w:space="0" w:color="auto"/>
            <w:bottom w:val="none" w:sz="0" w:space="0" w:color="auto"/>
            <w:right w:val="none" w:sz="0" w:space="0" w:color="auto"/>
          </w:divBdr>
        </w:div>
        <w:div w:id="1207379318">
          <w:marLeft w:val="360"/>
          <w:marRight w:val="0"/>
          <w:marTop w:val="200"/>
          <w:marBottom w:val="0"/>
          <w:divBdr>
            <w:top w:val="none" w:sz="0" w:space="0" w:color="auto"/>
            <w:left w:val="none" w:sz="0" w:space="0" w:color="auto"/>
            <w:bottom w:val="none" w:sz="0" w:space="0" w:color="auto"/>
            <w:right w:val="none" w:sz="0" w:space="0" w:color="auto"/>
          </w:divBdr>
        </w:div>
        <w:div w:id="257372967">
          <w:marLeft w:val="360"/>
          <w:marRight w:val="0"/>
          <w:marTop w:val="200"/>
          <w:marBottom w:val="0"/>
          <w:divBdr>
            <w:top w:val="none" w:sz="0" w:space="0" w:color="auto"/>
            <w:left w:val="none" w:sz="0" w:space="0" w:color="auto"/>
            <w:bottom w:val="none" w:sz="0" w:space="0" w:color="auto"/>
            <w:right w:val="none" w:sz="0" w:space="0" w:color="auto"/>
          </w:divBdr>
        </w:div>
        <w:div w:id="638418122">
          <w:marLeft w:val="360"/>
          <w:marRight w:val="0"/>
          <w:marTop w:val="200"/>
          <w:marBottom w:val="0"/>
          <w:divBdr>
            <w:top w:val="none" w:sz="0" w:space="0" w:color="auto"/>
            <w:left w:val="none" w:sz="0" w:space="0" w:color="auto"/>
            <w:bottom w:val="none" w:sz="0" w:space="0" w:color="auto"/>
            <w:right w:val="none" w:sz="0" w:space="0" w:color="auto"/>
          </w:divBdr>
        </w:div>
      </w:divsChild>
    </w:div>
    <w:div w:id="286476324">
      <w:bodyDiv w:val="1"/>
      <w:marLeft w:val="0"/>
      <w:marRight w:val="0"/>
      <w:marTop w:val="0"/>
      <w:marBottom w:val="0"/>
      <w:divBdr>
        <w:top w:val="none" w:sz="0" w:space="0" w:color="auto"/>
        <w:left w:val="none" w:sz="0" w:space="0" w:color="auto"/>
        <w:bottom w:val="none" w:sz="0" w:space="0" w:color="auto"/>
        <w:right w:val="none" w:sz="0" w:space="0" w:color="auto"/>
      </w:divBdr>
    </w:div>
    <w:div w:id="386955509">
      <w:bodyDiv w:val="1"/>
      <w:marLeft w:val="0"/>
      <w:marRight w:val="0"/>
      <w:marTop w:val="0"/>
      <w:marBottom w:val="0"/>
      <w:divBdr>
        <w:top w:val="none" w:sz="0" w:space="0" w:color="auto"/>
        <w:left w:val="none" w:sz="0" w:space="0" w:color="auto"/>
        <w:bottom w:val="none" w:sz="0" w:space="0" w:color="auto"/>
        <w:right w:val="none" w:sz="0" w:space="0" w:color="auto"/>
      </w:divBdr>
    </w:div>
    <w:div w:id="818348720">
      <w:bodyDiv w:val="1"/>
      <w:marLeft w:val="0"/>
      <w:marRight w:val="0"/>
      <w:marTop w:val="0"/>
      <w:marBottom w:val="0"/>
      <w:divBdr>
        <w:top w:val="none" w:sz="0" w:space="0" w:color="auto"/>
        <w:left w:val="none" w:sz="0" w:space="0" w:color="auto"/>
        <w:bottom w:val="none" w:sz="0" w:space="0" w:color="auto"/>
        <w:right w:val="none" w:sz="0" w:space="0" w:color="auto"/>
      </w:divBdr>
    </w:div>
    <w:div w:id="1125462154">
      <w:bodyDiv w:val="1"/>
      <w:marLeft w:val="0"/>
      <w:marRight w:val="0"/>
      <w:marTop w:val="0"/>
      <w:marBottom w:val="0"/>
      <w:divBdr>
        <w:top w:val="none" w:sz="0" w:space="0" w:color="auto"/>
        <w:left w:val="none" w:sz="0" w:space="0" w:color="auto"/>
        <w:bottom w:val="none" w:sz="0" w:space="0" w:color="auto"/>
        <w:right w:val="none" w:sz="0" w:space="0" w:color="auto"/>
      </w:divBdr>
    </w:div>
    <w:div w:id="1993480268">
      <w:bodyDiv w:val="1"/>
      <w:marLeft w:val="0"/>
      <w:marRight w:val="0"/>
      <w:marTop w:val="0"/>
      <w:marBottom w:val="0"/>
      <w:divBdr>
        <w:top w:val="none" w:sz="0" w:space="0" w:color="auto"/>
        <w:left w:val="none" w:sz="0" w:space="0" w:color="auto"/>
        <w:bottom w:val="none" w:sz="0" w:space="0" w:color="auto"/>
        <w:right w:val="none" w:sz="0" w:space="0" w:color="auto"/>
      </w:divBdr>
    </w:div>
    <w:div w:id="208013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connections@aemo.com.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emo.com.au/About-AEMO/Energy-market-budget-and-fees"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supporthub@aemo.com.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nboarding@aemo.com.au" TargetMode="External"/><Relationship Id="rId20" Type="http://schemas.openxmlformats.org/officeDocument/2006/relationships/hyperlink" Target="http://www.aemo.com.au/Electricity/National-Electricity-Market-NEM/Participant-information/Fees-and-charg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connections@aemo.com.au" TargetMode="External"/><Relationship Id="rId23" Type="http://schemas.openxmlformats.org/officeDocument/2006/relationships/header" Target="header1.xml"/><Relationship Id="rId10" Type="http://schemas.openxmlformats.org/officeDocument/2006/relationships/styles" Target="styles.xml"/><Relationship Id="rId19" Type="http://schemas.openxmlformats.org/officeDocument/2006/relationships/hyperlink" Target="http://www.aemc.gov.au/Markets-Reviews-Advice/Frequency-control-frameworks-review"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www.aemc.gov.au/getattachment/900f37e2-efa4-4c7f-99ea-fa9c78b41993/Terms-of-reference.aspx" TargetMode="External"/><Relationship Id="rId3" Type="http://schemas.openxmlformats.org/officeDocument/2006/relationships/hyperlink" Target="http://www.cleanenergyregulator.gov.au/RET/Scheme-participants-and-industry/Power-stations/Large-scale-generation-certificates/Creating-and-registering-large-scale-generation-certificates" TargetMode="External"/><Relationship Id="rId7" Type="http://schemas.openxmlformats.org/officeDocument/2006/relationships/hyperlink" Target="http://www.aemc.gov.au/Rule-Changes/Network-Support-and-Control-Ancillary-Services" TargetMode="External"/><Relationship Id="rId2" Type="http://schemas.openxmlformats.org/officeDocument/2006/relationships/hyperlink" Target="https://www.aemo.com.au/-/media/Files/PDF/Guide-to-Ancillary-Services-in-the-National-Electricity-Market.ashx" TargetMode="External"/><Relationship Id="rId1" Type="http://schemas.openxmlformats.org/officeDocument/2006/relationships/hyperlink" Target="http://www.aemo.com.au/Electricity/National-Electricity-Market-NEM/Participant-information/New-participants/Exemption-and-classification-guides" TargetMode="External"/><Relationship Id="rId6" Type="http://schemas.openxmlformats.org/officeDocument/2006/relationships/hyperlink" Target="http://www.aemc.gov.au/Markets-Reviews-Advice/Frequency-control-frameworks-review" TargetMode="External"/><Relationship Id="rId5" Type="http://schemas.openxmlformats.org/officeDocument/2006/relationships/hyperlink" Target="https://www.aemo.com.au/Stakeholder-Consultation/Consultations/Amendment-Of-The-Market-Ancillary-Service-Specification" TargetMode="External"/><Relationship Id="rId4" Type="http://schemas.openxmlformats.org/officeDocument/2006/relationships/hyperlink" Target="https://www.aemo.com.au/Electricity/National-Electricity-Market-NEM/Network-connections/Transmission-and-distribution-in-the-NEM--process-overview" TargetMode="External"/><Relationship Id="rId9" Type="http://schemas.openxmlformats.org/officeDocument/2006/relationships/hyperlink" Target="https://www.aemo.com.au/Stakeholder-Consultation/Industry-forums-and-working-groups/Other-meetings/Ancillary-Services-Technical-Advisory-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General\Memo_incl%20WA.dotx" TargetMode="External"/></Relationships>
</file>

<file path=word/theme/theme1.xml><?xml version="1.0" encoding="utf-8"?>
<a:theme xmlns:a="http://schemas.openxmlformats.org/drawingml/2006/main" name="AEMO09Theme">
  <a:themeElements>
    <a:clrScheme name="AEMO09">
      <a:dk1>
        <a:sysClr val="windowText" lastClr="000000"/>
      </a:dk1>
      <a:lt1>
        <a:sysClr val="window" lastClr="FFFFFF"/>
      </a:lt1>
      <a:dk2>
        <a:srgbClr val="000000"/>
      </a:dk2>
      <a:lt2>
        <a:srgbClr val="FFFFFF"/>
      </a:lt2>
      <a:accent1>
        <a:srgbClr val="1E4164"/>
      </a:accent1>
      <a:accent2>
        <a:srgbClr val="C41230"/>
      </a:accent2>
      <a:accent3>
        <a:srgbClr val="F37421"/>
      </a:accent3>
      <a:accent4>
        <a:srgbClr val="FFC222"/>
      </a:accent4>
      <a:accent5>
        <a:srgbClr val="948671"/>
      </a:accent5>
      <a:accent6>
        <a:srgbClr val="A9C399"/>
      </a:accent6>
      <a:hlink>
        <a:srgbClr val="CB7E80"/>
      </a:hlink>
      <a:folHlink>
        <a:srgbClr val="FFFFFF"/>
      </a:folHlink>
    </a:clrScheme>
    <a:fontScheme name="AEMO09">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AEMODocument" ma:contentTypeID="0x0101009BE89D58CAF0934CA32A20BCFFD353DC009EF7088E3A9D82499A76F293D5E1C810" ma:contentTypeVersion="35" ma:contentTypeDescription="" ma:contentTypeScope="" ma:versionID="80b4388c068324913b3b597e2eec5cb2">
  <xsd:schema xmlns:xsd="http://www.w3.org/2001/XMLSchema" xmlns:xs="http://www.w3.org/2001/XMLSchema" xmlns:p="http://schemas.microsoft.com/office/2006/metadata/properties" xmlns:ns2="a14523ce-dede-483e-883a-2d83261080bd" targetNamespace="http://schemas.microsoft.com/office/2006/metadata/properties" ma:root="true" ma:fieldsID="b0057041f160f2b3f45ddd626eedcb96"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51801fbb-fa9e-4f46-83a9-99779b53af96}" ma:internalName="TaxCatchAll" ma:showField="CatchAllData" ma:web="56d60922-43ea-4ddd-9817-2ed9f5175df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1801fbb-fa9e-4f46-83a9-99779b53af96}" ma:internalName="TaxCatchAllLabel" ma:readOnly="true" ma:showField="CatchAllDataLabel" ma:web="56d60922-43ea-4ddd-9817-2ed9f5175dff">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2;#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14523ce-dede-483e-883a-2d83261080bd">RISKCOMP-9-65056</_dlc_DocId>
    <_dlc_DocIdUrl xmlns="a14523ce-dede-483e-883a-2d83261080bd">
      <Url>http://sharedocs/sites/rc/_layouts/15/DocIdRedir.aspx?ID=RISKCOMP-9-65056</Url>
      <Description>RISKCOMP-9-65056</Description>
    </_dlc_DocIdUrl>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2</Value>
    </TaxCatchAll>
    <AEMODescription xmlns="a14523ce-dede-483e-883a-2d83261080bd" xsi:nil="true"/>
  </documentManagement>
</p:properties>
</file>

<file path=customXml/item6.xml><?xml version="1.0" encoding="utf-8"?>
<?mso-contentType ?>
<customXsn xmlns="http://schemas.microsoft.com/office/2006/metadata/customXsn">
  <xsnLocation/>
  <cached>True</cached>
  <openByDefault>True</openByDefault>
  <xsnScope>/sites/rc/reg</xsnScope>
</customXsn>
</file>

<file path=customXml/item7.xml><?xml version="1.0" encoding="utf-8"?>
<?mso-contentType ?>
<SharedContentType xmlns="Microsoft.SharePoint.Taxonomy.ContentTypeSync" SourceId="409ac0fb-07cb-4169-8a26-def2760b5502" ContentTypeId="0x0101009BE89D58CAF0934CA32A20BCFFD353DC"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218077-BFA3-48EF-8694-3EC163F14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93D8B-5EDE-447D-AFE4-C5764534052C}">
  <ds:schemaRefs>
    <ds:schemaRef ds:uri="http://schemas.microsoft.com/sharepoint/events"/>
  </ds:schemaRefs>
</ds:datastoreItem>
</file>

<file path=customXml/itemProps4.xml><?xml version="1.0" encoding="utf-8"?>
<ds:datastoreItem xmlns:ds="http://schemas.openxmlformats.org/officeDocument/2006/customXml" ds:itemID="{F8179905-0D45-4B4A-B245-4C8CFDEA5A27}">
  <ds:schemaRefs>
    <ds:schemaRef ds:uri="http://schemas.microsoft.com/sharepoint/v3/contenttype/forms"/>
  </ds:schemaRefs>
</ds:datastoreItem>
</file>

<file path=customXml/itemProps5.xml><?xml version="1.0" encoding="utf-8"?>
<ds:datastoreItem xmlns:ds="http://schemas.openxmlformats.org/officeDocument/2006/customXml" ds:itemID="{3BBC4490-D9EB-4AF5-A0C6-796596A9CE51}">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a14523ce-dede-483e-883a-2d83261080bd"/>
    <ds:schemaRef ds:uri="http://schemas.openxmlformats.org/package/2006/metadata/core-properties"/>
    <ds:schemaRef ds:uri="http://purl.org/dc/dcmitype/"/>
    <ds:schemaRef ds:uri="http://purl.org/dc/terms/"/>
  </ds:schemaRefs>
</ds:datastoreItem>
</file>

<file path=customXml/itemProps6.xml><?xml version="1.0" encoding="utf-8"?>
<ds:datastoreItem xmlns:ds="http://schemas.openxmlformats.org/officeDocument/2006/customXml" ds:itemID="{A2E9E152-2701-46A6-85A4-0DC70D8E188F}">
  <ds:schemaRefs>
    <ds:schemaRef ds:uri="http://schemas.microsoft.com/office/2006/metadata/customXsn"/>
  </ds:schemaRefs>
</ds:datastoreItem>
</file>

<file path=customXml/itemProps7.xml><?xml version="1.0" encoding="utf-8"?>
<ds:datastoreItem xmlns:ds="http://schemas.openxmlformats.org/officeDocument/2006/customXml" ds:itemID="{463887B5-00EC-486D-AE74-4173505D6105}">
  <ds:schemaRefs>
    <ds:schemaRef ds:uri="Microsoft.SharePoint.Taxonomy.ContentTypeSync"/>
  </ds:schemaRefs>
</ds:datastoreItem>
</file>

<file path=customXml/itemProps8.xml><?xml version="1.0" encoding="utf-8"?>
<ds:datastoreItem xmlns:ds="http://schemas.openxmlformats.org/officeDocument/2006/customXml" ds:itemID="{F3FE4B55-3140-46A1-9D48-3E2C69D8A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Memo_incl WA</Template>
  <TotalTime>1</TotalTime>
  <Pages>7</Pages>
  <Words>3242</Words>
  <Characters>18485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21684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Evy Papadopoulos</dc:creator>
  <cp:lastModifiedBy>James Banks</cp:lastModifiedBy>
  <cp:revision>4</cp:revision>
  <cp:lastPrinted>2017-07-14T01:41:00Z</cp:lastPrinted>
  <dcterms:created xsi:type="dcterms:W3CDTF">2018-03-16T05:34:00Z</dcterms:created>
  <dcterms:modified xsi:type="dcterms:W3CDTF">2018-03-19T01:14:00Z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0x0101009BE89D58CAF0934CA32A20BCFFD353DC009EF7088E3A9D82499A76F293D5E1C810</vt:lpwstr>
  </property>
  <property fmtid="{D5CDD505-2E9C-101B-9397-08002B2CF9AE}" pid="3" name="_dlc_DocIdItemGuid">
    <vt:lpwstr>2c018c6b-0614-4b91-b19f-92e1cf2b8c0f</vt:lpwstr>
  </property>
  <property fmtid="{D5CDD505-2E9C-101B-9397-08002B2CF9AE}" pid="4" name="AEMODocumentType">
    <vt:lpwstr>2;#Operational Record|859762f2-4462-42eb-9744-c955c7e2c540</vt:lpwstr>
  </property>
  <property fmtid="{D5CDD505-2E9C-101B-9397-08002B2CF9AE}" pid="5" name="AEMOKeywords">
    <vt:lpwstr/>
  </property>
</Properties>
</file>