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1933" w14:textId="77777777" w:rsidR="00684203" w:rsidRPr="00684203" w:rsidRDefault="00967B6C" w:rsidP="00684203">
      <w:pPr>
        <w:keepNext/>
        <w:spacing w:after="360"/>
        <w:jc w:val="left"/>
        <w:outlineLvl w:val="7"/>
        <w:rPr>
          <w:rFonts w:cs="Arial"/>
          <w:b/>
          <w:color w:val="000000"/>
          <w:spacing w:val="0"/>
          <w:sz w:val="72"/>
          <w:szCs w:val="24"/>
        </w:rPr>
      </w:pPr>
      <w:r>
        <w:rPr>
          <w:rFonts w:cs="Arial"/>
          <w:b/>
          <w:color w:val="000000"/>
          <w:spacing w:val="0"/>
          <w:sz w:val="72"/>
          <w:szCs w:val="24"/>
        </w:rPr>
        <w:t>Victorian Ne</w:t>
      </w:r>
      <w:bookmarkStart w:id="0" w:name="_GoBack"/>
      <w:bookmarkEnd w:id="0"/>
      <w:r>
        <w:rPr>
          <w:rFonts w:cs="Arial"/>
          <w:b/>
          <w:color w:val="000000"/>
          <w:spacing w:val="0"/>
          <w:sz w:val="72"/>
          <w:szCs w:val="24"/>
        </w:rPr>
        <w:t>gotiating Framework</w:t>
      </w:r>
    </w:p>
    <w:p w14:paraId="584E77CB" w14:textId="77777777" w:rsidR="00684203" w:rsidRPr="00684203" w:rsidRDefault="00967B6C" w:rsidP="00684203">
      <w:pPr>
        <w:keepNext/>
        <w:spacing w:after="1680"/>
        <w:jc w:val="left"/>
        <w:outlineLvl w:val="8"/>
        <w:rPr>
          <w:rFonts w:ascii="Arial Bold" w:hAnsi="Arial Bold" w:cs="Arial"/>
          <w:bCs/>
          <w:spacing w:val="0"/>
          <w:sz w:val="44"/>
          <w:szCs w:val="24"/>
        </w:rPr>
      </w:pPr>
      <w:r>
        <w:rPr>
          <w:rFonts w:ascii="Arial Bold" w:hAnsi="Arial Bold" w:cs="Arial"/>
          <w:bCs/>
          <w:spacing w:val="0"/>
          <w:sz w:val="44"/>
          <w:szCs w:val="24"/>
        </w:rPr>
        <w:t>1 April 2017 – 31 March 2022</w:t>
      </w:r>
    </w:p>
    <w:p w14:paraId="55567E69" w14:textId="77777777" w:rsidR="001D1C4B" w:rsidRDefault="001D1C4B" w:rsidP="001D1C4B">
      <w:pPr>
        <w:pStyle w:val="BodyText"/>
      </w:pPr>
    </w:p>
    <w:p w14:paraId="723C6FE9" w14:textId="77777777" w:rsidR="001D1C4B" w:rsidRDefault="001D1C4B" w:rsidP="001D1C4B">
      <w:pPr>
        <w:pStyle w:val="BodyText"/>
      </w:pPr>
    </w:p>
    <w:p w14:paraId="139E41D2" w14:textId="77777777" w:rsidR="001D1C4B" w:rsidRDefault="001D1C4B" w:rsidP="001D1C4B">
      <w:pPr>
        <w:pStyle w:val="BodyText"/>
      </w:pPr>
    </w:p>
    <w:p w14:paraId="394FD8A6" w14:textId="77777777" w:rsidR="005D7506" w:rsidRPr="001D1C4B" w:rsidRDefault="001D1C4B" w:rsidP="001D1C4B">
      <w:pPr>
        <w:pStyle w:val="BodyText"/>
        <w:rPr>
          <w:b/>
        </w:rPr>
      </w:pPr>
      <w:r w:rsidRPr="001D1C4B">
        <w:rPr>
          <w:b/>
        </w:rPr>
        <w:t xml:space="preserve">Submitted: </w:t>
      </w:r>
      <w:r w:rsidR="00B17AA8">
        <w:rPr>
          <w:b/>
        </w:rPr>
        <w:t xml:space="preserve">31 October </w:t>
      </w:r>
      <w:r w:rsidRPr="001D1C4B">
        <w:rPr>
          <w:b/>
        </w:rPr>
        <w:t>2015</w:t>
      </w:r>
    </w:p>
    <w:p w14:paraId="47373D75" w14:textId="77777777" w:rsidR="005D7506" w:rsidRPr="00DE37D4" w:rsidRDefault="005D7506" w:rsidP="001D1C4B">
      <w:pPr>
        <w:pStyle w:val="BodyText"/>
      </w:pPr>
    </w:p>
    <w:p w14:paraId="2D3D9396" w14:textId="77777777" w:rsidR="005D7506" w:rsidRPr="00DE37D4" w:rsidRDefault="005D7506" w:rsidP="001D1C4B">
      <w:pPr>
        <w:pStyle w:val="BodyText"/>
        <w:sectPr w:rsidR="005D7506" w:rsidRPr="00DE37D4">
          <w:headerReference w:type="default" r:id="rId14"/>
          <w:footerReference w:type="even" r:id="rId15"/>
          <w:headerReference w:type="first" r:id="rId16"/>
          <w:footerReference w:type="first" r:id="rId17"/>
          <w:pgSz w:w="11907" w:h="16840" w:code="9"/>
          <w:pgMar w:top="851" w:right="1134" w:bottom="851" w:left="1418" w:header="578" w:footer="964" w:gutter="0"/>
          <w:pgNumType w:start="1"/>
          <w:cols w:space="720"/>
          <w:vAlign w:val="center"/>
        </w:sectPr>
      </w:pPr>
    </w:p>
    <w:p w14:paraId="451706BA" w14:textId="77777777" w:rsidR="001D1C4B" w:rsidRPr="005B5DEF" w:rsidRDefault="001D1C4B" w:rsidP="001D1C4B">
      <w:pPr>
        <w:spacing w:before="0" w:after="0"/>
      </w:pPr>
      <w:bookmarkStart w:id="1" w:name="_Toc77388708"/>
      <w:bookmarkStart w:id="2" w:name="_Toc77480233"/>
      <w:bookmarkStart w:id="3" w:name="_Toc135308821"/>
    </w:p>
    <w:p w14:paraId="1F69E397" w14:textId="77777777" w:rsidR="001D1C4B" w:rsidRDefault="001D1C4B" w:rsidP="001D1C4B">
      <w:pPr>
        <w:rPr>
          <w:b/>
        </w:rPr>
        <w:sectPr w:rsidR="001D1C4B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851" w:right="1134" w:bottom="851" w:left="1418" w:header="567" w:footer="567" w:gutter="0"/>
          <w:cols w:space="720"/>
        </w:sectPr>
      </w:pPr>
    </w:p>
    <w:bookmarkEnd w:id="1"/>
    <w:bookmarkEnd w:id="2"/>
    <w:bookmarkEnd w:id="3"/>
    <w:p w14:paraId="3C4CDF6A" w14:textId="77777777" w:rsidR="00FA7855" w:rsidRDefault="00FA7855" w:rsidP="00FA7855"/>
    <w:p w14:paraId="6C23AAE4" w14:textId="77777777" w:rsidR="005D7506" w:rsidRPr="00BE4563" w:rsidRDefault="00FA7855" w:rsidP="00BD238D">
      <w:pPr>
        <w:pStyle w:val="Heading9"/>
        <w:spacing w:before="0" w:line="240" w:lineRule="auto"/>
        <w:jc w:val="center"/>
        <w:rPr>
          <w:color w:val="031F73" w:themeColor="text2"/>
          <w:sz w:val="28"/>
          <w:szCs w:val="28"/>
        </w:rPr>
      </w:pPr>
      <w:r w:rsidRPr="00BE4563">
        <w:rPr>
          <w:color w:val="031F73" w:themeColor="text2"/>
          <w:sz w:val="28"/>
          <w:szCs w:val="28"/>
        </w:rPr>
        <w:t>T</w:t>
      </w:r>
      <w:r w:rsidR="005D7506" w:rsidRPr="00BE4563">
        <w:rPr>
          <w:color w:val="031F73" w:themeColor="text2"/>
          <w:sz w:val="28"/>
          <w:szCs w:val="28"/>
        </w:rPr>
        <w:t>able of Contents</w:t>
      </w:r>
    </w:p>
    <w:p w14:paraId="2F5FCE50" w14:textId="77777777" w:rsidR="008840AA" w:rsidRDefault="00A869A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"2-2" \h \z \t "Heading 1,1,Section Heading,1" </w:instrText>
      </w:r>
      <w:r>
        <w:fldChar w:fldCharType="separate"/>
      </w:r>
      <w:hyperlink w:anchor="_Toc424297372" w:history="1">
        <w:r w:rsidR="008840AA" w:rsidRPr="00CD05ED">
          <w:rPr>
            <w:rStyle w:val="Hyperlink"/>
            <w:noProof/>
          </w:rPr>
          <w:t>1.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Introduction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_Toc424297372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4</w:t>
        </w:r>
        <w:r w:rsidR="008840AA">
          <w:rPr>
            <w:noProof/>
            <w:webHidden/>
          </w:rPr>
          <w:fldChar w:fldCharType="end"/>
        </w:r>
      </w:hyperlink>
    </w:p>
    <w:p w14:paraId="097A92AE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3" w:history="1">
        <w:r w:rsidR="008840AA" w:rsidRPr="00CD05ED">
          <w:rPr>
            <w:rStyle w:val="Hyperlink"/>
            <w:noProof/>
          </w:rPr>
          <w:t>2.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Victorian Transmission Network Arrangements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_Toc424297373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5</w:t>
        </w:r>
        <w:r w:rsidR="008840AA">
          <w:rPr>
            <w:noProof/>
            <w:webHidden/>
          </w:rPr>
          <w:fldChar w:fldCharType="end"/>
        </w:r>
      </w:hyperlink>
    </w:p>
    <w:p w14:paraId="3E59D8DB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4" w:history="1">
        <w:r w:rsidR="008840AA" w:rsidRPr="00CD05ED">
          <w:rPr>
            <w:rStyle w:val="Hyperlink"/>
            <w:noProof/>
          </w:rPr>
          <w:t>3.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Application of Negotiating Framework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_Toc424297374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5</w:t>
        </w:r>
        <w:r w:rsidR="008840AA">
          <w:rPr>
            <w:noProof/>
            <w:webHidden/>
          </w:rPr>
          <w:fldChar w:fldCharType="end"/>
        </w:r>
      </w:hyperlink>
    </w:p>
    <w:p w14:paraId="17E11384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5" w:history="1">
        <w:r w:rsidR="008840AA" w:rsidRPr="00CD05ED">
          <w:rPr>
            <w:rStyle w:val="Hyperlink"/>
            <w:noProof/>
          </w:rPr>
          <w:t>4.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Conduct of Negotiations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_Toc424297375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6</w:t>
        </w:r>
        <w:r w:rsidR="008840AA">
          <w:rPr>
            <w:noProof/>
            <w:webHidden/>
          </w:rPr>
          <w:fldChar w:fldCharType="end"/>
        </w:r>
      </w:hyperlink>
    </w:p>
    <w:p w14:paraId="30B66D25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6" w:history="1">
        <w:r w:rsidR="008840AA" w:rsidRPr="00CD05ED">
          <w:rPr>
            <w:rStyle w:val="Hyperlink"/>
            <w:noProof/>
          </w:rPr>
          <w:t>5.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Timeframe for Negotiations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_Toc424297376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6</w:t>
        </w:r>
        <w:r w:rsidR="008840AA">
          <w:rPr>
            <w:noProof/>
            <w:webHidden/>
          </w:rPr>
          <w:fldChar w:fldCharType="end"/>
        </w:r>
      </w:hyperlink>
    </w:p>
    <w:p w14:paraId="6185F523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7" w:history="1">
        <w:r w:rsidR="008840AA" w:rsidRPr="00CD05ED">
          <w:rPr>
            <w:rStyle w:val="Hyperlink"/>
            <w:noProof/>
          </w:rPr>
          <w:t>6.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Costs of Investigation and Negotiation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_Toc424297377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6</w:t>
        </w:r>
        <w:r w:rsidR="008840AA">
          <w:rPr>
            <w:noProof/>
            <w:webHidden/>
          </w:rPr>
          <w:fldChar w:fldCharType="end"/>
        </w:r>
      </w:hyperlink>
    </w:p>
    <w:p w14:paraId="6B1A319B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8" w:history="1">
        <w:r w:rsidR="008840AA" w:rsidRPr="00CD05ED">
          <w:rPr>
            <w:rStyle w:val="Hyperlink"/>
            <w:noProof/>
          </w:rPr>
          <w:t>7.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Charges for Negotiated Transmission Services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_Toc424297378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7</w:t>
        </w:r>
        <w:r w:rsidR="008840AA">
          <w:rPr>
            <w:noProof/>
            <w:webHidden/>
          </w:rPr>
          <w:fldChar w:fldCharType="end"/>
        </w:r>
      </w:hyperlink>
    </w:p>
    <w:p w14:paraId="66EDE4BE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79" w:history="1">
        <w:r w:rsidR="008840AA" w:rsidRPr="00CD05ED">
          <w:rPr>
            <w:rStyle w:val="Hyperlink"/>
            <w:noProof/>
          </w:rPr>
          <w:t>8.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Provision of Information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_Toc424297379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7</w:t>
        </w:r>
        <w:r w:rsidR="008840AA">
          <w:rPr>
            <w:noProof/>
            <w:webHidden/>
          </w:rPr>
          <w:fldChar w:fldCharType="end"/>
        </w:r>
      </w:hyperlink>
    </w:p>
    <w:p w14:paraId="4F6D3A58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80" w:history="1">
        <w:r w:rsidR="008840AA" w:rsidRPr="00CD05ED">
          <w:rPr>
            <w:rStyle w:val="Hyperlink"/>
            <w:noProof/>
          </w:rPr>
          <w:t>9.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Confidential Information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_Toc424297380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7</w:t>
        </w:r>
        <w:r w:rsidR="008840AA">
          <w:rPr>
            <w:noProof/>
            <w:webHidden/>
          </w:rPr>
          <w:fldChar w:fldCharType="end"/>
        </w:r>
      </w:hyperlink>
    </w:p>
    <w:p w14:paraId="2C641C55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81" w:history="1">
        <w:r w:rsidR="008840AA" w:rsidRPr="00CD05ED">
          <w:rPr>
            <w:rStyle w:val="Hyperlink"/>
            <w:noProof/>
          </w:rPr>
          <w:t>10.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Dispute Resolution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_Toc424297381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8</w:t>
        </w:r>
        <w:r w:rsidR="008840AA">
          <w:rPr>
            <w:noProof/>
            <w:webHidden/>
          </w:rPr>
          <w:fldChar w:fldCharType="end"/>
        </w:r>
      </w:hyperlink>
    </w:p>
    <w:p w14:paraId="179FC4F8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82" w:history="1">
        <w:r w:rsidR="008840AA" w:rsidRPr="00CD05ED">
          <w:rPr>
            <w:rStyle w:val="Hyperlink"/>
            <w:noProof/>
          </w:rPr>
          <w:t>11.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Other Network Users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_Toc424297382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8</w:t>
        </w:r>
        <w:r w:rsidR="008840AA">
          <w:rPr>
            <w:noProof/>
            <w:webHidden/>
          </w:rPr>
          <w:fldChar w:fldCharType="end"/>
        </w:r>
      </w:hyperlink>
    </w:p>
    <w:p w14:paraId="67541AA2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83" w:history="1">
        <w:r w:rsidR="008840AA" w:rsidRPr="00CD05ED">
          <w:rPr>
            <w:rStyle w:val="Hyperlink"/>
            <w:noProof/>
          </w:rPr>
          <w:t>12.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Suspension of Time Periods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_Toc424297383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8</w:t>
        </w:r>
        <w:r w:rsidR="008840AA">
          <w:rPr>
            <w:noProof/>
            <w:webHidden/>
          </w:rPr>
          <w:fldChar w:fldCharType="end"/>
        </w:r>
      </w:hyperlink>
    </w:p>
    <w:p w14:paraId="208EB011" w14:textId="77777777" w:rsidR="008840AA" w:rsidRDefault="00855A6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4297384" w:history="1">
        <w:r w:rsidR="008840AA" w:rsidRPr="00CD05ED">
          <w:rPr>
            <w:rStyle w:val="Hyperlink"/>
            <w:noProof/>
          </w:rPr>
          <w:t>13.</w:t>
        </w:r>
        <w:r w:rsidR="008840A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840AA" w:rsidRPr="00CD05ED">
          <w:rPr>
            <w:rStyle w:val="Hyperlink"/>
            <w:noProof/>
          </w:rPr>
          <w:t>Termination of Negotiations</w:t>
        </w:r>
        <w:r w:rsidR="008840AA">
          <w:rPr>
            <w:noProof/>
            <w:webHidden/>
          </w:rPr>
          <w:tab/>
        </w:r>
        <w:r w:rsidR="008840AA">
          <w:rPr>
            <w:noProof/>
            <w:webHidden/>
          </w:rPr>
          <w:fldChar w:fldCharType="begin"/>
        </w:r>
        <w:r w:rsidR="008840AA">
          <w:rPr>
            <w:noProof/>
            <w:webHidden/>
          </w:rPr>
          <w:instrText xml:space="preserve"> PAGEREF _Toc424297384 \h </w:instrText>
        </w:r>
        <w:r w:rsidR="008840AA">
          <w:rPr>
            <w:noProof/>
            <w:webHidden/>
          </w:rPr>
        </w:r>
        <w:r w:rsidR="008840AA">
          <w:rPr>
            <w:noProof/>
            <w:webHidden/>
          </w:rPr>
          <w:fldChar w:fldCharType="separate"/>
        </w:r>
        <w:r w:rsidR="008840AA">
          <w:rPr>
            <w:noProof/>
            <w:webHidden/>
          </w:rPr>
          <w:t>9</w:t>
        </w:r>
        <w:r w:rsidR="008840AA">
          <w:rPr>
            <w:noProof/>
            <w:webHidden/>
          </w:rPr>
          <w:fldChar w:fldCharType="end"/>
        </w:r>
      </w:hyperlink>
    </w:p>
    <w:p w14:paraId="1D052F48" w14:textId="77777777" w:rsidR="005D7506" w:rsidRPr="00DE37D4" w:rsidRDefault="00A869A8" w:rsidP="006B42FF">
      <w:pPr>
        <w:pStyle w:val="TOC2"/>
      </w:pPr>
      <w:r>
        <w:rPr>
          <w:rFonts w:ascii="Arial Bold" w:hAnsi="Arial Bold"/>
          <w:b/>
          <w:spacing w:val="0"/>
        </w:rPr>
        <w:fldChar w:fldCharType="end"/>
      </w:r>
    </w:p>
    <w:p w14:paraId="6AF38BFC" w14:textId="77777777" w:rsidR="005D7506" w:rsidRPr="00DE37D4" w:rsidRDefault="005D7506" w:rsidP="001D1C4B">
      <w:pPr>
        <w:pStyle w:val="BodyText"/>
        <w:sectPr w:rsidR="005D7506" w:rsidRPr="00DE37D4">
          <w:pgSz w:w="11907" w:h="16840" w:code="9"/>
          <w:pgMar w:top="851" w:right="1134" w:bottom="851" w:left="1418" w:header="567" w:footer="567" w:gutter="0"/>
          <w:cols w:space="720"/>
        </w:sectPr>
      </w:pPr>
    </w:p>
    <w:p w14:paraId="1C4E308B" w14:textId="77777777" w:rsidR="006B42FF" w:rsidRDefault="00967B6C" w:rsidP="00DB1B1F">
      <w:pPr>
        <w:pStyle w:val="Heading1"/>
      </w:pPr>
      <w:bookmarkStart w:id="4" w:name="_Toc424297372"/>
      <w:bookmarkStart w:id="5" w:name="_Toc135308822"/>
      <w:r>
        <w:lastRenderedPageBreak/>
        <w:t>Introduction</w:t>
      </w:r>
      <w:bookmarkEnd w:id="4"/>
    </w:p>
    <w:p w14:paraId="7EA910D8" w14:textId="77777777" w:rsidR="003E602D" w:rsidRPr="003E602D" w:rsidRDefault="003E602D" w:rsidP="006B42FF">
      <w:pPr>
        <w:rPr>
          <w:b/>
          <w:color w:val="0070C0"/>
        </w:rPr>
      </w:pPr>
      <w:r w:rsidRPr="003E602D">
        <w:rPr>
          <w:b/>
          <w:color w:val="0070C0"/>
        </w:rPr>
        <w:t>About this negotiating framework</w:t>
      </w:r>
    </w:p>
    <w:p w14:paraId="36F83232" w14:textId="77777777" w:rsidR="003E602D" w:rsidRPr="00C149FD" w:rsidRDefault="003E602D" w:rsidP="003E602D">
      <w:pPr>
        <w:rPr>
          <w:lang w:val="en-US"/>
        </w:rPr>
      </w:pPr>
      <w:r w:rsidRPr="00C149FD">
        <w:t xml:space="preserve">Clause 6A.9.5 of the National Electricity Rules requires a </w:t>
      </w:r>
      <w:r w:rsidRPr="00F57DE3">
        <w:rPr>
          <w:i/>
        </w:rPr>
        <w:t>Transmission Network Service Provider</w:t>
      </w:r>
      <w:r w:rsidRPr="00C149FD">
        <w:t xml:space="preserve"> </w:t>
      </w:r>
      <w:r w:rsidRPr="00C149FD">
        <w:rPr>
          <w:iCs/>
          <w:lang w:val="en-US"/>
        </w:rPr>
        <w:t>to</w:t>
      </w:r>
      <w:r w:rsidRPr="00C149FD">
        <w:rPr>
          <w:i/>
          <w:iCs/>
          <w:lang w:val="en-US"/>
        </w:rPr>
        <w:t xml:space="preserve"> </w:t>
      </w:r>
      <w:r w:rsidRPr="00C149FD">
        <w:rPr>
          <w:lang w:val="en-US"/>
        </w:rPr>
        <w:t xml:space="preserve">prepare a </w:t>
      </w:r>
      <w:r w:rsidRPr="00C149FD">
        <w:rPr>
          <w:i/>
          <w:iCs/>
          <w:lang w:val="en-US"/>
        </w:rPr>
        <w:t>negotiating framework</w:t>
      </w:r>
      <w:r w:rsidRPr="00C149FD">
        <w:rPr>
          <w:lang w:val="en-US"/>
        </w:rPr>
        <w:t xml:space="preserve"> setting out the procedure to be followed during negotiations </w:t>
      </w:r>
      <w:r>
        <w:rPr>
          <w:lang w:val="en-US"/>
        </w:rPr>
        <w:t xml:space="preserve">with </w:t>
      </w:r>
      <w:r w:rsidRPr="00C149FD">
        <w:rPr>
          <w:lang w:val="en-US"/>
        </w:rPr>
        <w:t xml:space="preserve">any person who wishes to receive a </w:t>
      </w:r>
      <w:r w:rsidRPr="00C149FD">
        <w:rPr>
          <w:i/>
          <w:lang w:val="en-US"/>
        </w:rPr>
        <w:t>negotiated transmission service</w:t>
      </w:r>
      <w:r w:rsidRPr="00C149FD">
        <w:rPr>
          <w:lang w:val="en-US"/>
        </w:rPr>
        <w:t xml:space="preserve"> from the</w:t>
      </w:r>
      <w:r w:rsidRPr="00C149FD">
        <w:rPr>
          <w:i/>
          <w:iCs/>
        </w:rPr>
        <w:t xml:space="preserve"> </w:t>
      </w:r>
      <w:r w:rsidRPr="00F57DE3">
        <w:rPr>
          <w:i/>
          <w:iCs/>
        </w:rPr>
        <w:t>Transmission Network Service Provider</w:t>
      </w:r>
      <w:r>
        <w:rPr>
          <w:iCs/>
        </w:rPr>
        <w:t>,</w:t>
      </w:r>
      <w:r w:rsidRPr="00C149FD">
        <w:rPr>
          <w:lang w:val="en-US"/>
        </w:rPr>
        <w:t xml:space="preserve"> as to the </w:t>
      </w:r>
      <w:r w:rsidRPr="00135C70">
        <w:rPr>
          <w:i/>
          <w:lang w:val="en-US"/>
        </w:rPr>
        <w:t>terms and conditions of access</w:t>
      </w:r>
      <w:r w:rsidRPr="00C149FD">
        <w:rPr>
          <w:lang w:val="en-US"/>
        </w:rPr>
        <w:t xml:space="preserve"> for the provision of the service.  The </w:t>
      </w:r>
      <w:r w:rsidRPr="00C149FD">
        <w:rPr>
          <w:i/>
          <w:iCs/>
          <w:lang w:val="en-US"/>
        </w:rPr>
        <w:t xml:space="preserve">negotiating framework </w:t>
      </w:r>
      <w:r w:rsidRPr="00C149FD">
        <w:rPr>
          <w:iCs/>
          <w:lang w:val="en-US"/>
        </w:rPr>
        <w:t xml:space="preserve">must </w:t>
      </w:r>
      <w:r w:rsidRPr="00C149FD">
        <w:rPr>
          <w:lang w:val="en-US"/>
        </w:rPr>
        <w:t>comply with and be consistent with:</w:t>
      </w:r>
    </w:p>
    <w:p w14:paraId="6AAA683A" w14:textId="77777777" w:rsidR="003E602D" w:rsidRPr="00C149FD" w:rsidRDefault="00AF2C0D" w:rsidP="00AF2C0D">
      <w:pPr>
        <w:pStyle w:val="Bullet"/>
      </w:pPr>
      <w:r>
        <w:t>T</w:t>
      </w:r>
      <w:r w:rsidR="003E602D" w:rsidRPr="00C149FD">
        <w:t xml:space="preserve">he applicable requirements of a </w:t>
      </w:r>
      <w:r w:rsidR="003E602D" w:rsidRPr="00135C70">
        <w:t>transmission determination</w:t>
      </w:r>
      <w:r w:rsidR="003E602D" w:rsidRPr="00C149FD">
        <w:t xml:space="preserve"> applying to the </w:t>
      </w:r>
      <w:r w:rsidR="003E602D" w:rsidRPr="00B17AA8">
        <w:rPr>
          <w:i/>
          <w:iCs/>
        </w:rPr>
        <w:t>Transmission Network Service Provider</w:t>
      </w:r>
      <w:r w:rsidR="003E602D" w:rsidRPr="00C149FD">
        <w:t>; and</w:t>
      </w:r>
    </w:p>
    <w:p w14:paraId="266D5E86" w14:textId="77777777" w:rsidR="003E602D" w:rsidRDefault="00AF2C0D" w:rsidP="00AF2C0D">
      <w:pPr>
        <w:pStyle w:val="Bullet"/>
      </w:pPr>
      <w:r>
        <w:t>T</w:t>
      </w:r>
      <w:r w:rsidR="003E602D" w:rsidRPr="00C149FD">
        <w:t xml:space="preserve">he minimum requirements for a negotiating framework, which are set out in </w:t>
      </w:r>
      <w:r w:rsidR="003E602D">
        <w:t xml:space="preserve">clause </w:t>
      </w:r>
      <w:r w:rsidR="003E602D" w:rsidRPr="00C149FD">
        <w:t>6A.9.5(c)</w:t>
      </w:r>
      <w:r w:rsidR="003E602D">
        <w:t xml:space="preserve"> of the </w:t>
      </w:r>
      <w:r w:rsidR="003E602D" w:rsidRPr="00B17AA8">
        <w:rPr>
          <w:i/>
        </w:rPr>
        <w:t>Rules</w:t>
      </w:r>
      <w:r w:rsidR="003E602D" w:rsidRPr="00C149FD">
        <w:t>.</w:t>
      </w:r>
    </w:p>
    <w:p w14:paraId="4CD01245" w14:textId="77777777" w:rsidR="003E602D" w:rsidRDefault="003E602D" w:rsidP="003E602D">
      <w:pPr>
        <w:rPr>
          <w:lang w:val="en-US"/>
        </w:rPr>
      </w:pPr>
      <w:r w:rsidRPr="00C149FD">
        <w:rPr>
          <w:lang w:val="en-US"/>
        </w:rPr>
        <w:t xml:space="preserve">This </w:t>
      </w:r>
      <w:r>
        <w:rPr>
          <w:lang w:val="en-US"/>
        </w:rPr>
        <w:t xml:space="preserve">is the </w:t>
      </w:r>
      <w:r w:rsidRPr="00C149FD">
        <w:rPr>
          <w:i/>
          <w:lang w:val="en-US"/>
        </w:rPr>
        <w:t>negotiating framework</w:t>
      </w:r>
      <w:r>
        <w:rPr>
          <w:lang w:val="en-US"/>
        </w:rPr>
        <w:t xml:space="preserve"> applicable to the Victorian Transmission Network, subject to the approval of the </w:t>
      </w:r>
      <w:r w:rsidRPr="00840282">
        <w:rPr>
          <w:i/>
          <w:lang w:val="en-US"/>
        </w:rPr>
        <w:t>AER</w:t>
      </w:r>
      <w:r>
        <w:rPr>
          <w:lang w:val="en-US"/>
        </w:rPr>
        <w:t xml:space="preserve"> under the </w:t>
      </w:r>
      <w:r w:rsidRPr="00F57DE3">
        <w:rPr>
          <w:i/>
          <w:lang w:val="en-US"/>
        </w:rPr>
        <w:t>Rules</w:t>
      </w:r>
      <w:r>
        <w:rPr>
          <w:lang w:val="en-US"/>
        </w:rPr>
        <w:t>.</w:t>
      </w:r>
      <w:r w:rsidR="00AF2C0D">
        <w:rPr>
          <w:lang w:val="en-US"/>
        </w:rPr>
        <w:t xml:space="preserve"> </w:t>
      </w:r>
      <w:r>
        <w:rPr>
          <w:lang w:val="en-US"/>
        </w:rPr>
        <w:t xml:space="preserve"> It has been prepared jointly by AEMO and AusNet Services. </w:t>
      </w:r>
    </w:p>
    <w:p w14:paraId="6559C7DE" w14:textId="39D0178D" w:rsidR="003E602D" w:rsidRDefault="003E602D" w:rsidP="003E602D">
      <w:r>
        <w:rPr>
          <w:lang w:val="en-US"/>
        </w:rPr>
        <w:t xml:space="preserve">This </w:t>
      </w:r>
      <w:r>
        <w:rPr>
          <w:i/>
          <w:lang w:val="en-US"/>
        </w:rPr>
        <w:t xml:space="preserve">negotiating framework </w:t>
      </w:r>
      <w:r>
        <w:rPr>
          <w:lang w:val="en-US"/>
        </w:rPr>
        <w:t>applies</w:t>
      </w:r>
      <w:r w:rsidRPr="00C149FD">
        <w:rPr>
          <w:lang w:val="en-US"/>
        </w:rPr>
        <w:t xml:space="preserve"> </w:t>
      </w:r>
      <w:r>
        <w:rPr>
          <w:lang w:val="en-US"/>
        </w:rPr>
        <w:t xml:space="preserve">to AEMO and AusNet Services </w:t>
      </w:r>
      <w:r w:rsidRPr="00C149FD">
        <w:rPr>
          <w:lang w:val="en-US"/>
        </w:rPr>
        <w:t xml:space="preserve">for the period </w:t>
      </w:r>
      <w:r w:rsidRPr="00C149FD">
        <w:t>1 April 201</w:t>
      </w:r>
      <w:r w:rsidR="00AF2C0D">
        <w:t>7</w:t>
      </w:r>
      <w:r w:rsidRPr="00C149FD">
        <w:t xml:space="preserve"> to 31 March 20</w:t>
      </w:r>
      <w:r w:rsidR="00AF2C0D">
        <w:t>22</w:t>
      </w:r>
      <w:r>
        <w:t>.</w:t>
      </w:r>
      <w:r w:rsidR="008840AA">
        <w:t xml:space="preserve">  </w:t>
      </w:r>
    </w:p>
    <w:p w14:paraId="40557194" w14:textId="77777777" w:rsidR="003E602D" w:rsidRPr="001F3B0E" w:rsidRDefault="003E602D" w:rsidP="003E602D">
      <w:pPr>
        <w:rPr>
          <w:b/>
          <w:color w:val="0070C0"/>
        </w:rPr>
      </w:pPr>
      <w:r w:rsidRPr="001F3B0E">
        <w:rPr>
          <w:b/>
          <w:color w:val="0070C0"/>
        </w:rPr>
        <w:t>Definitions</w:t>
      </w:r>
    </w:p>
    <w:p w14:paraId="28F3241E" w14:textId="77777777" w:rsidR="003E602D" w:rsidRPr="003C0302" w:rsidRDefault="003E602D" w:rsidP="003E602D">
      <w:pPr>
        <w:rPr>
          <w:lang w:val="en-US"/>
        </w:rPr>
      </w:pPr>
      <w:r w:rsidRPr="003C0302">
        <w:rPr>
          <w:lang w:val="en-US"/>
        </w:rPr>
        <w:t xml:space="preserve">Terms appearing in italics in this document are defined in the </w:t>
      </w:r>
      <w:r w:rsidRPr="00DA0D6B">
        <w:rPr>
          <w:i/>
          <w:lang w:val="en-US"/>
        </w:rPr>
        <w:t>Rules</w:t>
      </w:r>
      <w:r w:rsidRPr="003C0302">
        <w:rPr>
          <w:lang w:val="en-US"/>
        </w:rPr>
        <w:t>. Additional defined terms and abbreviations used in this document are listed below:</w:t>
      </w:r>
    </w:p>
    <w:p w14:paraId="12BD5537" w14:textId="77777777" w:rsidR="0096007A" w:rsidRPr="00971444" w:rsidRDefault="0096007A" w:rsidP="003E602D">
      <w:pPr>
        <w:rPr>
          <w:lang w:val="en-US"/>
        </w:rPr>
      </w:pPr>
      <w:r>
        <w:rPr>
          <w:b/>
          <w:lang w:val="en-US"/>
        </w:rPr>
        <w:t xml:space="preserve">AEMO </w:t>
      </w:r>
      <w:r>
        <w:rPr>
          <w:lang w:val="en-US"/>
        </w:rPr>
        <w:t>means the Australian Energy Market Operator Limited (ABN 94 072 010 327)</w:t>
      </w:r>
    </w:p>
    <w:p w14:paraId="047AC8F2" w14:textId="77777777" w:rsidR="003E602D" w:rsidRPr="003C0302" w:rsidRDefault="003E602D" w:rsidP="003E602D">
      <w:pPr>
        <w:rPr>
          <w:lang w:val="en-US"/>
        </w:rPr>
      </w:pPr>
      <w:r w:rsidRPr="003C0302">
        <w:rPr>
          <w:b/>
          <w:lang w:val="en-US"/>
        </w:rPr>
        <w:t>Business Day</w:t>
      </w:r>
      <w:r w:rsidRPr="003C0302">
        <w:rPr>
          <w:lang w:val="en-US"/>
        </w:rPr>
        <w:t xml:space="preserve"> means a day that is not:</w:t>
      </w:r>
    </w:p>
    <w:p w14:paraId="757B9499" w14:textId="77777777" w:rsidR="003E602D" w:rsidRPr="003C0302" w:rsidRDefault="003E602D" w:rsidP="003E602D">
      <w:pPr>
        <w:rPr>
          <w:lang w:val="en-US"/>
        </w:rPr>
      </w:pPr>
      <w:r w:rsidRPr="003C0302">
        <w:rPr>
          <w:lang w:val="en-US"/>
        </w:rPr>
        <w:t>(a)</w:t>
      </w:r>
      <w:r w:rsidRPr="003C0302">
        <w:rPr>
          <w:lang w:val="en-US"/>
        </w:rPr>
        <w:tab/>
        <w:t xml:space="preserve">a Saturday or Sunday; or </w:t>
      </w:r>
    </w:p>
    <w:p w14:paraId="2100A3A0" w14:textId="77777777" w:rsidR="003E602D" w:rsidRPr="003C0302" w:rsidRDefault="003E602D" w:rsidP="003E602D">
      <w:pPr>
        <w:rPr>
          <w:lang w:val="en-US"/>
        </w:rPr>
      </w:pPr>
      <w:r w:rsidRPr="003C0302">
        <w:rPr>
          <w:lang w:val="en-US"/>
        </w:rPr>
        <w:t>(b)</w:t>
      </w:r>
      <w:r w:rsidRPr="003C0302">
        <w:rPr>
          <w:lang w:val="en-US"/>
        </w:rPr>
        <w:tab/>
        <w:t xml:space="preserve">observed as a public holiday in Melbourne, Victoria. </w:t>
      </w:r>
    </w:p>
    <w:p w14:paraId="3091F649" w14:textId="77777777" w:rsidR="003E602D" w:rsidRPr="003C0302" w:rsidRDefault="003E602D" w:rsidP="003E602D">
      <w:pPr>
        <w:rPr>
          <w:lang w:val="en-US"/>
        </w:rPr>
      </w:pPr>
      <w:r w:rsidRPr="003C0302">
        <w:rPr>
          <w:b/>
          <w:lang w:val="en-US"/>
        </w:rPr>
        <w:t>Negotiating Party</w:t>
      </w:r>
      <w:r w:rsidRPr="003C0302">
        <w:rPr>
          <w:lang w:val="en-US"/>
        </w:rPr>
        <w:t xml:space="preserve"> – see section </w:t>
      </w:r>
      <w:r>
        <w:rPr>
          <w:lang w:val="en-US"/>
        </w:rPr>
        <w:t>3</w:t>
      </w:r>
      <w:r w:rsidRPr="003C0302">
        <w:rPr>
          <w:lang w:val="en-US"/>
        </w:rPr>
        <w:t xml:space="preserve"> of this </w:t>
      </w:r>
      <w:r w:rsidRPr="002F7527">
        <w:rPr>
          <w:i/>
          <w:lang w:val="en-US"/>
        </w:rPr>
        <w:t>negotiating framework</w:t>
      </w:r>
      <w:r w:rsidRPr="003C0302">
        <w:rPr>
          <w:lang w:val="en-US"/>
        </w:rPr>
        <w:t>.</w:t>
      </w:r>
    </w:p>
    <w:p w14:paraId="6AA21B18" w14:textId="77777777" w:rsidR="003E602D" w:rsidRPr="003C0302" w:rsidRDefault="003E602D" w:rsidP="003E602D">
      <w:pPr>
        <w:rPr>
          <w:lang w:val="en-US"/>
        </w:rPr>
      </w:pPr>
      <w:r>
        <w:rPr>
          <w:b/>
          <w:lang w:val="en-US"/>
        </w:rPr>
        <w:t>AusNet Services</w:t>
      </w:r>
      <w:r w:rsidRPr="003C0302">
        <w:rPr>
          <w:lang w:val="en-US"/>
        </w:rPr>
        <w:t xml:space="preserve"> means </w:t>
      </w:r>
      <w:r w:rsidR="00AF2C0D">
        <w:rPr>
          <w:lang w:val="en-US"/>
        </w:rPr>
        <w:t xml:space="preserve">AusNet Transmission Group </w:t>
      </w:r>
      <w:r w:rsidRPr="003C0302">
        <w:rPr>
          <w:lang w:val="en-US"/>
        </w:rPr>
        <w:t>Pty Ltd (ABN 78 079 798 173).</w:t>
      </w:r>
    </w:p>
    <w:p w14:paraId="67F659FB" w14:textId="77777777" w:rsidR="003E602D" w:rsidRPr="003C0302" w:rsidRDefault="003E602D" w:rsidP="003E602D">
      <w:pPr>
        <w:rPr>
          <w:lang w:val="en-US"/>
        </w:rPr>
      </w:pPr>
      <w:r w:rsidRPr="003C0302">
        <w:rPr>
          <w:b/>
          <w:lang w:val="en-US"/>
        </w:rPr>
        <w:t xml:space="preserve">TNSP </w:t>
      </w:r>
      <w:r w:rsidRPr="003C0302">
        <w:rPr>
          <w:lang w:val="en-US"/>
        </w:rPr>
        <w:t xml:space="preserve">means </w:t>
      </w:r>
      <w:r w:rsidRPr="002F7527">
        <w:rPr>
          <w:i/>
          <w:lang w:val="en-US"/>
        </w:rPr>
        <w:t>Transmission Network Service Provider</w:t>
      </w:r>
      <w:r w:rsidRPr="003C0302">
        <w:rPr>
          <w:lang w:val="en-US"/>
        </w:rPr>
        <w:t>.</w:t>
      </w:r>
    </w:p>
    <w:p w14:paraId="70E6F275" w14:textId="77777777" w:rsidR="003E602D" w:rsidRPr="003C0302" w:rsidRDefault="003E602D" w:rsidP="003E602D">
      <w:pPr>
        <w:rPr>
          <w:lang w:val="en-US"/>
        </w:rPr>
      </w:pPr>
      <w:r w:rsidRPr="003C0302">
        <w:rPr>
          <w:b/>
          <w:lang w:val="en-US"/>
        </w:rPr>
        <w:t>Victorian Transmission Network</w:t>
      </w:r>
      <w:r w:rsidRPr="003C0302">
        <w:rPr>
          <w:lang w:val="en-US"/>
        </w:rPr>
        <w:t xml:space="preserve"> means the declared transmission </w:t>
      </w:r>
      <w:r w:rsidR="006E6261">
        <w:rPr>
          <w:lang w:val="en-US"/>
        </w:rPr>
        <w:t>system</w:t>
      </w:r>
      <w:r w:rsidR="006E6261" w:rsidRPr="003C0302">
        <w:rPr>
          <w:lang w:val="en-US"/>
        </w:rPr>
        <w:t xml:space="preserve"> </w:t>
      </w:r>
      <w:r w:rsidRPr="003C0302">
        <w:rPr>
          <w:lang w:val="en-US"/>
        </w:rPr>
        <w:t xml:space="preserve">as defined in section 33 of the </w:t>
      </w:r>
      <w:r w:rsidRPr="008840AA">
        <w:rPr>
          <w:i/>
          <w:lang w:val="en-US"/>
        </w:rPr>
        <w:t>National Electricity (Victoria) Act 2005</w:t>
      </w:r>
      <w:r w:rsidRPr="003C0302">
        <w:rPr>
          <w:lang w:val="en-US"/>
        </w:rPr>
        <w:t xml:space="preserve"> (Vic).</w:t>
      </w:r>
    </w:p>
    <w:p w14:paraId="66F07181" w14:textId="77777777" w:rsidR="003E602D" w:rsidRPr="001F3B0E" w:rsidRDefault="003E602D" w:rsidP="003E602D">
      <w:pPr>
        <w:rPr>
          <w:b/>
          <w:color w:val="0070C0"/>
        </w:rPr>
      </w:pPr>
      <w:r w:rsidRPr="001F3B0E">
        <w:rPr>
          <w:b/>
          <w:color w:val="0070C0"/>
        </w:rPr>
        <w:t>What are negotiated transmission services?</w:t>
      </w:r>
    </w:p>
    <w:p w14:paraId="313F5D92" w14:textId="77777777" w:rsidR="003E602D" w:rsidRDefault="003E602D" w:rsidP="003E602D">
      <w:r w:rsidRPr="00C149FD">
        <w:t xml:space="preserve">A </w:t>
      </w:r>
      <w:r w:rsidRPr="00C149FD">
        <w:rPr>
          <w:i/>
        </w:rPr>
        <w:t>negotiated transmission service</w:t>
      </w:r>
      <w:r w:rsidRPr="00C149FD">
        <w:t xml:space="preserve"> is defined in the </w:t>
      </w:r>
      <w:r w:rsidRPr="00F57DE3">
        <w:rPr>
          <w:i/>
        </w:rPr>
        <w:t>Rules</w:t>
      </w:r>
      <w:r w:rsidRPr="00C149FD">
        <w:t xml:space="preserve"> as any of the following services: </w:t>
      </w:r>
    </w:p>
    <w:p w14:paraId="66F57F9B" w14:textId="77777777" w:rsidR="003E602D" w:rsidRPr="00DA0D6B" w:rsidRDefault="003E602D" w:rsidP="008840AA">
      <w:pPr>
        <w:ind w:left="720"/>
        <w:rPr>
          <w:i/>
        </w:rPr>
      </w:pPr>
      <w:r w:rsidRPr="00DA0D6B">
        <w:rPr>
          <w:i/>
        </w:rPr>
        <w:t>“(a)</w:t>
      </w:r>
      <w:r w:rsidRPr="00DA0D6B">
        <w:rPr>
          <w:i/>
        </w:rPr>
        <w:tab/>
        <w:t xml:space="preserve">a </w:t>
      </w:r>
      <w:r w:rsidRPr="00971444">
        <w:rPr>
          <w:i/>
        </w:rPr>
        <w:t>shared transmission service</w:t>
      </w:r>
      <w:r w:rsidRPr="00DA0D6B">
        <w:rPr>
          <w:i/>
        </w:rPr>
        <w:t xml:space="preserve"> </w:t>
      </w:r>
      <w:r w:rsidRPr="00971444">
        <w:t>that</w:t>
      </w:r>
      <w:r w:rsidRPr="00DA0D6B">
        <w:rPr>
          <w:i/>
        </w:rPr>
        <w:t xml:space="preserve">: </w:t>
      </w:r>
    </w:p>
    <w:p w14:paraId="732D47C7" w14:textId="77777777" w:rsidR="003E602D" w:rsidRPr="00DA0D6B" w:rsidRDefault="003E602D" w:rsidP="008840AA">
      <w:pPr>
        <w:ind w:left="2160" w:hanging="720"/>
        <w:rPr>
          <w:i/>
        </w:rPr>
      </w:pPr>
      <w:r w:rsidRPr="00DA0D6B">
        <w:rPr>
          <w:i/>
        </w:rPr>
        <w:t>(1)</w:t>
      </w:r>
      <w:r w:rsidRPr="00DA0D6B">
        <w:rPr>
          <w:i/>
        </w:rPr>
        <w:tab/>
      </w:r>
      <w:r w:rsidRPr="00971444">
        <w:t>exceeds</w:t>
      </w:r>
      <w:r w:rsidRPr="00DA0D6B">
        <w:rPr>
          <w:i/>
        </w:rPr>
        <w:t xml:space="preserve"> the </w:t>
      </w:r>
      <w:r w:rsidRPr="00971444">
        <w:rPr>
          <w:i/>
          <w:iCs/>
        </w:rPr>
        <w:t>network</w:t>
      </w:r>
      <w:r w:rsidRPr="00DA0D6B">
        <w:rPr>
          <w:i/>
          <w:iCs/>
        </w:rPr>
        <w:t xml:space="preserve"> </w:t>
      </w:r>
      <w:r w:rsidRPr="00971444">
        <w:t>performance requirements</w:t>
      </w:r>
      <w:r w:rsidRPr="00DA0D6B">
        <w:rPr>
          <w:i/>
        </w:rPr>
        <w:t xml:space="preserve"> </w:t>
      </w:r>
      <w:r w:rsidRPr="00971444">
        <w:t>(whether as to quality or quantity) (if any) as that</w:t>
      </w:r>
      <w:r w:rsidRPr="00DA0D6B">
        <w:rPr>
          <w:i/>
        </w:rPr>
        <w:t xml:space="preserve"> </w:t>
      </w:r>
      <w:r w:rsidRPr="00971444">
        <w:rPr>
          <w:i/>
          <w:iCs/>
        </w:rPr>
        <w:t>shared transmission service</w:t>
      </w:r>
      <w:r w:rsidRPr="00DA0D6B">
        <w:rPr>
          <w:i/>
          <w:iCs/>
        </w:rPr>
        <w:t xml:space="preserve"> </w:t>
      </w:r>
      <w:r w:rsidRPr="00971444">
        <w:t>is required to meet under any</w:t>
      </w:r>
      <w:r w:rsidRPr="00DA0D6B">
        <w:rPr>
          <w:i/>
        </w:rPr>
        <w:t xml:space="preserve"> </w:t>
      </w:r>
      <w:r w:rsidRPr="00971444">
        <w:rPr>
          <w:i/>
          <w:iCs/>
        </w:rPr>
        <w:t>jurisdictional electricity legislation</w:t>
      </w:r>
      <w:r w:rsidRPr="00DA0D6B">
        <w:rPr>
          <w:i/>
        </w:rPr>
        <w:t xml:space="preserve">; or </w:t>
      </w:r>
    </w:p>
    <w:p w14:paraId="2B27A1C5" w14:textId="77777777" w:rsidR="003E602D" w:rsidRPr="00971444" w:rsidRDefault="003E602D" w:rsidP="008840AA">
      <w:pPr>
        <w:ind w:left="2160" w:hanging="720"/>
      </w:pPr>
      <w:r w:rsidRPr="00DA0D6B">
        <w:rPr>
          <w:i/>
        </w:rPr>
        <w:t>(2)</w:t>
      </w:r>
      <w:r w:rsidRPr="00DA0D6B">
        <w:rPr>
          <w:i/>
        </w:rPr>
        <w:tab/>
      </w:r>
      <w:r w:rsidRPr="00971444">
        <w:t>except to the extent that the</w:t>
      </w:r>
      <w:r w:rsidRPr="00DA0D6B">
        <w:rPr>
          <w:i/>
        </w:rPr>
        <w:t xml:space="preserve"> </w:t>
      </w:r>
      <w:r w:rsidRPr="00971444">
        <w:rPr>
          <w:i/>
          <w:iCs/>
        </w:rPr>
        <w:t>network</w:t>
      </w:r>
      <w:r w:rsidRPr="00DA0D6B">
        <w:rPr>
          <w:i/>
          <w:iCs/>
        </w:rPr>
        <w:t xml:space="preserve"> </w:t>
      </w:r>
      <w:r w:rsidRPr="00971444">
        <w:t xml:space="preserve">performance requirements which that </w:t>
      </w:r>
      <w:r w:rsidRPr="00971444">
        <w:rPr>
          <w:i/>
          <w:iCs/>
        </w:rPr>
        <w:t>shared transmission service</w:t>
      </w:r>
      <w:r w:rsidRPr="00971444">
        <w:rPr>
          <w:iCs/>
        </w:rPr>
        <w:t xml:space="preserve"> </w:t>
      </w:r>
      <w:r w:rsidRPr="00971444">
        <w:t xml:space="preserve">is required to meet are prescribed under any </w:t>
      </w:r>
      <w:r w:rsidRPr="00971444">
        <w:rPr>
          <w:i/>
          <w:iCs/>
        </w:rPr>
        <w:t>jurisdictional electricity legislation</w:t>
      </w:r>
      <w:r w:rsidRPr="00971444">
        <w:t xml:space="preserve">, exceeds or does not meet the </w:t>
      </w:r>
      <w:r w:rsidRPr="00971444">
        <w:rPr>
          <w:i/>
          <w:iCs/>
        </w:rPr>
        <w:t>network</w:t>
      </w:r>
      <w:r w:rsidRPr="00E71730">
        <w:rPr>
          <w:i/>
          <w:iCs/>
        </w:rPr>
        <w:t xml:space="preserve"> </w:t>
      </w:r>
      <w:r w:rsidRPr="00971444">
        <w:t xml:space="preserve">performance requirements (whether as to quality or quantity) as are set out in schedule 5.1a or 5.1; </w:t>
      </w:r>
    </w:p>
    <w:p w14:paraId="2A75BB70" w14:textId="77777777" w:rsidR="003E602D" w:rsidRPr="00971444" w:rsidRDefault="003E602D" w:rsidP="008840AA">
      <w:pPr>
        <w:ind w:left="1440" w:hanging="720"/>
      </w:pPr>
      <w:r w:rsidRPr="00DA0D6B">
        <w:rPr>
          <w:i/>
        </w:rPr>
        <w:t>(b)</w:t>
      </w:r>
      <w:r w:rsidRPr="00DA0D6B">
        <w:rPr>
          <w:i/>
        </w:rPr>
        <w:tab/>
      </w:r>
      <w:r w:rsidRPr="00971444">
        <w:rPr>
          <w:i/>
        </w:rPr>
        <w:t>connection services</w:t>
      </w:r>
      <w:r w:rsidRPr="00971444">
        <w:t xml:space="preserve"> that are provided to serve a </w:t>
      </w:r>
      <w:r w:rsidRPr="00971444">
        <w:rPr>
          <w:i/>
        </w:rPr>
        <w:t>Transmission Network User</w:t>
      </w:r>
      <w:r w:rsidRPr="00971444">
        <w:t xml:space="preserve">, or group of </w:t>
      </w:r>
      <w:r w:rsidRPr="00971444">
        <w:rPr>
          <w:i/>
        </w:rPr>
        <w:t>Transmission Network Users</w:t>
      </w:r>
      <w:r w:rsidRPr="00971444">
        <w:t xml:space="preserve">, at a single </w:t>
      </w:r>
      <w:r w:rsidRPr="00971444">
        <w:rPr>
          <w:i/>
        </w:rPr>
        <w:t>transmission network</w:t>
      </w:r>
      <w:r w:rsidRPr="00E71730">
        <w:rPr>
          <w:i/>
        </w:rPr>
        <w:t xml:space="preserve"> connection point</w:t>
      </w:r>
      <w:r w:rsidRPr="00971444">
        <w:t xml:space="preserve">, other than </w:t>
      </w:r>
      <w:r w:rsidRPr="00971444">
        <w:rPr>
          <w:i/>
        </w:rPr>
        <w:t>connection services</w:t>
      </w:r>
      <w:r w:rsidRPr="00971444">
        <w:t xml:space="preserve"> that are provided by one </w:t>
      </w:r>
      <w:r w:rsidRPr="00971444">
        <w:rPr>
          <w:i/>
        </w:rPr>
        <w:t>Network Service Provider</w:t>
      </w:r>
      <w:r w:rsidRPr="00971444">
        <w:t xml:space="preserve"> to another </w:t>
      </w:r>
      <w:r w:rsidRPr="00971444">
        <w:rPr>
          <w:i/>
        </w:rPr>
        <w:t>Network Service Provider</w:t>
      </w:r>
      <w:r w:rsidRPr="00971444">
        <w:t xml:space="preserve"> to </w:t>
      </w:r>
      <w:r w:rsidRPr="00E71730">
        <w:rPr>
          <w:i/>
        </w:rPr>
        <w:t>connect</w:t>
      </w:r>
      <w:r w:rsidRPr="00971444">
        <w:t xml:space="preserve"> their </w:t>
      </w:r>
      <w:r w:rsidRPr="00E71730">
        <w:rPr>
          <w:i/>
        </w:rPr>
        <w:t>networks</w:t>
      </w:r>
      <w:r w:rsidRPr="00971444">
        <w:t xml:space="preserve"> where neither of the </w:t>
      </w:r>
      <w:r w:rsidRPr="00971444">
        <w:rPr>
          <w:i/>
        </w:rPr>
        <w:t>Network Service Providers</w:t>
      </w:r>
      <w:r w:rsidRPr="00971444">
        <w:t xml:space="preserve"> is a </w:t>
      </w:r>
      <w:r w:rsidRPr="00971444">
        <w:rPr>
          <w:i/>
        </w:rPr>
        <w:t>Market Network Service Provider</w:t>
      </w:r>
      <w:r w:rsidRPr="00971444">
        <w:t xml:space="preserve">; or </w:t>
      </w:r>
    </w:p>
    <w:p w14:paraId="01A48C5C" w14:textId="77777777" w:rsidR="003E602D" w:rsidRPr="00971444" w:rsidRDefault="003E602D" w:rsidP="008840AA">
      <w:pPr>
        <w:ind w:left="1440" w:hanging="720"/>
      </w:pPr>
      <w:r w:rsidRPr="00971444">
        <w:lastRenderedPageBreak/>
        <w:t>(c)</w:t>
      </w:r>
      <w:r w:rsidRPr="00971444">
        <w:tab/>
      </w:r>
      <w:r w:rsidRPr="00971444">
        <w:rPr>
          <w:i/>
          <w:iCs/>
        </w:rPr>
        <w:t>use of system services</w:t>
      </w:r>
      <w:r w:rsidRPr="00971444">
        <w:rPr>
          <w:iCs/>
        </w:rPr>
        <w:t xml:space="preserve"> </w:t>
      </w:r>
      <w:r w:rsidRPr="00971444">
        <w:t xml:space="preserve">provided to a </w:t>
      </w:r>
      <w:r w:rsidRPr="00971444">
        <w:rPr>
          <w:i/>
          <w:iCs/>
        </w:rPr>
        <w:t>Transmission Network User</w:t>
      </w:r>
      <w:r w:rsidRPr="00971444">
        <w:rPr>
          <w:iCs/>
        </w:rPr>
        <w:t xml:space="preserve"> </w:t>
      </w:r>
      <w:r w:rsidRPr="00971444">
        <w:t xml:space="preserve">and referred to in rule 5.4A(f)(3) in relation to </w:t>
      </w:r>
      <w:r w:rsidRPr="00971444">
        <w:rPr>
          <w:i/>
          <w:iCs/>
        </w:rPr>
        <w:t>augmentations</w:t>
      </w:r>
      <w:r w:rsidRPr="00971444">
        <w:rPr>
          <w:iCs/>
        </w:rPr>
        <w:t xml:space="preserve"> </w:t>
      </w:r>
      <w:r w:rsidRPr="00971444">
        <w:t xml:space="preserve">or </w:t>
      </w:r>
      <w:r w:rsidRPr="00971444">
        <w:rPr>
          <w:i/>
          <w:iCs/>
        </w:rPr>
        <w:t>extensions</w:t>
      </w:r>
      <w:r w:rsidRPr="00971444">
        <w:rPr>
          <w:iCs/>
        </w:rPr>
        <w:t xml:space="preserve"> </w:t>
      </w:r>
      <w:r w:rsidRPr="00971444">
        <w:t xml:space="preserve">required to be undertaken on a </w:t>
      </w:r>
      <w:r w:rsidRPr="00971444">
        <w:rPr>
          <w:i/>
          <w:iCs/>
        </w:rPr>
        <w:t>transmission network</w:t>
      </w:r>
      <w:r w:rsidRPr="00971444">
        <w:rPr>
          <w:iCs/>
        </w:rPr>
        <w:t xml:space="preserve"> </w:t>
      </w:r>
      <w:r w:rsidRPr="00971444">
        <w:t xml:space="preserve">as described in rule 5.4A, </w:t>
      </w:r>
    </w:p>
    <w:p w14:paraId="20A962A4" w14:textId="77777777" w:rsidR="003E602D" w:rsidRPr="00DA0D6B" w:rsidRDefault="003E602D" w:rsidP="008840AA">
      <w:pPr>
        <w:ind w:left="720"/>
        <w:rPr>
          <w:i/>
        </w:rPr>
      </w:pPr>
      <w:r w:rsidRPr="00971444">
        <w:t>but does not include an</w:t>
      </w:r>
      <w:r w:rsidRPr="00DA0D6B">
        <w:rPr>
          <w:i/>
        </w:rPr>
        <w:t xml:space="preserve"> </w:t>
      </w:r>
      <w:r w:rsidRPr="00971444">
        <w:rPr>
          <w:i/>
        </w:rPr>
        <w:t>above-standard system shared transmission service</w:t>
      </w:r>
      <w:r w:rsidRPr="00DA0D6B">
        <w:rPr>
          <w:i/>
        </w:rPr>
        <w:t xml:space="preserve"> </w:t>
      </w:r>
      <w:r w:rsidRPr="00971444">
        <w:t>or a</w:t>
      </w:r>
      <w:r w:rsidRPr="00DA0D6B">
        <w:rPr>
          <w:i/>
        </w:rPr>
        <w:t xml:space="preserve"> </w:t>
      </w:r>
      <w:r w:rsidRPr="00971444">
        <w:rPr>
          <w:i/>
        </w:rPr>
        <w:t>market network service</w:t>
      </w:r>
      <w:r w:rsidRPr="00DA0D6B">
        <w:rPr>
          <w:i/>
        </w:rPr>
        <w:t>.”</w:t>
      </w:r>
    </w:p>
    <w:p w14:paraId="1D39F06B" w14:textId="77777777" w:rsidR="003E602D" w:rsidRDefault="003E602D" w:rsidP="003E602D">
      <w:pPr>
        <w:pStyle w:val="Heading1"/>
      </w:pPr>
      <w:bookmarkStart w:id="6" w:name="_Toc424297373"/>
      <w:r>
        <w:t>Victorian Transmission Network Arrangements</w:t>
      </w:r>
      <w:bookmarkEnd w:id="6"/>
    </w:p>
    <w:p w14:paraId="52C8F8BF" w14:textId="77777777" w:rsidR="003E602D" w:rsidRDefault="003E602D" w:rsidP="003E602D">
      <w:r w:rsidRPr="00C149FD">
        <w:t xml:space="preserve">Under the </w:t>
      </w:r>
      <w:r>
        <w:t xml:space="preserve">electricity transmission </w:t>
      </w:r>
      <w:r w:rsidRPr="00C149FD">
        <w:t>arrangements in Victoria, AEMO provid</w:t>
      </w:r>
      <w:r>
        <w:t>es</w:t>
      </w:r>
      <w:r w:rsidRPr="00C149FD">
        <w:t xml:space="preserve"> </w:t>
      </w:r>
      <w:r w:rsidRPr="00C149FD">
        <w:rPr>
          <w:i/>
        </w:rPr>
        <w:t xml:space="preserve">shared transmission services </w:t>
      </w:r>
      <w:r w:rsidRPr="00C149FD">
        <w:t xml:space="preserve">to users of the Victorian Transmission Network.  </w:t>
      </w:r>
      <w:r>
        <w:t xml:space="preserve">For those purposes, </w:t>
      </w:r>
      <w:r w:rsidRPr="00C149FD">
        <w:t>AEMO procures</w:t>
      </w:r>
      <w:r>
        <w:t xml:space="preserve"> </w:t>
      </w:r>
      <w:r>
        <w:rPr>
          <w:i/>
        </w:rPr>
        <w:t>network</w:t>
      </w:r>
      <w:r w:rsidRPr="00C149FD">
        <w:t xml:space="preserve"> capability and related services from </w:t>
      </w:r>
      <w:r>
        <w:t>AusNet Services</w:t>
      </w:r>
      <w:r w:rsidRPr="00C149FD">
        <w:t xml:space="preserve"> and </w:t>
      </w:r>
      <w:r w:rsidR="000C303B">
        <w:t xml:space="preserve">any </w:t>
      </w:r>
      <w:r w:rsidRPr="00C149FD">
        <w:t xml:space="preserve">other </w:t>
      </w:r>
      <w:r w:rsidR="000C303B">
        <w:t xml:space="preserve">party which </w:t>
      </w:r>
      <w:r w:rsidRPr="00C149FD">
        <w:t>own</w:t>
      </w:r>
      <w:r w:rsidR="000C303B">
        <w:t>s</w:t>
      </w:r>
      <w:r w:rsidRPr="00C149FD">
        <w:t xml:space="preserve"> and operate</w:t>
      </w:r>
      <w:r w:rsidR="000C303B">
        <w:t>s</w:t>
      </w:r>
      <w:r w:rsidRPr="00C149FD">
        <w:t xml:space="preserve"> </w:t>
      </w:r>
      <w:r w:rsidR="000C303B">
        <w:t xml:space="preserve">a </w:t>
      </w:r>
      <w:r w:rsidRPr="00C149FD">
        <w:t>part of the Victorian Transmission Network</w:t>
      </w:r>
      <w:r>
        <w:t xml:space="preserve"> </w:t>
      </w:r>
      <w:r w:rsidR="000C303B">
        <w:t xml:space="preserve">and is registered as a TNSP </w:t>
      </w:r>
      <w:r>
        <w:t xml:space="preserve">(also known as </w:t>
      </w:r>
      <w:r>
        <w:rPr>
          <w:i/>
        </w:rPr>
        <w:t>declared transmission system operators</w:t>
      </w:r>
      <w:r>
        <w:t>)</w:t>
      </w:r>
      <w:r w:rsidR="000C303B">
        <w:t>, or is exempted from registering as such by the AER</w:t>
      </w:r>
      <w:r w:rsidRPr="00C149FD">
        <w:t>.</w:t>
      </w:r>
    </w:p>
    <w:p w14:paraId="02FB9E9B" w14:textId="77777777" w:rsidR="003E602D" w:rsidRDefault="003E602D" w:rsidP="003E602D">
      <w:r>
        <w:t>AusNet Services</w:t>
      </w:r>
      <w:r w:rsidRPr="00C149FD">
        <w:t xml:space="preserve"> </w:t>
      </w:r>
      <w:r>
        <w:t xml:space="preserve">is the TNSP who </w:t>
      </w:r>
      <w:r w:rsidRPr="00C149FD">
        <w:t xml:space="preserve">owns </w:t>
      </w:r>
      <w:r>
        <w:t>and operates the major part of the Victorian Transmission Network.</w:t>
      </w:r>
      <w:r w:rsidR="00AF2C0D">
        <w:t xml:space="preserve"> </w:t>
      </w:r>
      <w:r>
        <w:t xml:space="preserve"> AusNet Services</w:t>
      </w:r>
      <w:r w:rsidRPr="00C149FD">
        <w:t xml:space="preserve"> provides and offers </w:t>
      </w:r>
      <w:r w:rsidRPr="00C149FD">
        <w:rPr>
          <w:i/>
        </w:rPr>
        <w:t>connection services</w:t>
      </w:r>
      <w:r w:rsidRPr="00C149FD">
        <w:t xml:space="preserve"> to </w:t>
      </w:r>
      <w:r w:rsidRPr="00C149FD">
        <w:rPr>
          <w:i/>
        </w:rPr>
        <w:t>Network Users</w:t>
      </w:r>
      <w:r>
        <w:rPr>
          <w:i/>
        </w:rPr>
        <w:t xml:space="preserve"> </w:t>
      </w:r>
      <w:r>
        <w:t>in respect of the major part of the Victorian Transmission Network</w:t>
      </w:r>
      <w:r w:rsidRPr="00C149FD">
        <w:t>.</w:t>
      </w:r>
    </w:p>
    <w:p w14:paraId="0A0048A0" w14:textId="77777777" w:rsidR="003E602D" w:rsidRPr="00C149FD" w:rsidRDefault="003E602D" w:rsidP="003E602D">
      <w:r>
        <w:t>A</w:t>
      </w:r>
      <w:r w:rsidRPr="00C149FD">
        <w:t xml:space="preserve">ny application </w:t>
      </w:r>
      <w:r>
        <w:t xml:space="preserve">to </w:t>
      </w:r>
      <w:r>
        <w:rPr>
          <w:i/>
        </w:rPr>
        <w:t xml:space="preserve">connect </w:t>
      </w:r>
      <w:r>
        <w:t xml:space="preserve">to the Victorian Transmission Network </w:t>
      </w:r>
      <w:r w:rsidRPr="00C149FD">
        <w:t xml:space="preserve">will require the </w:t>
      </w:r>
      <w:r w:rsidRPr="00C149FD">
        <w:rPr>
          <w:i/>
        </w:rPr>
        <w:t>Service Applicant</w:t>
      </w:r>
      <w:r w:rsidRPr="00C149FD">
        <w:t xml:space="preserve"> to enter into agreements with both </w:t>
      </w:r>
      <w:r w:rsidRPr="00C149FD">
        <w:rPr>
          <w:i/>
        </w:rPr>
        <w:t>AEMO</w:t>
      </w:r>
      <w:r w:rsidRPr="00DA0D6B">
        <w:rPr>
          <w:i/>
        </w:rPr>
        <w:t xml:space="preserve"> </w:t>
      </w:r>
      <w:r>
        <w:t xml:space="preserve">for </w:t>
      </w:r>
      <w:r>
        <w:rPr>
          <w:i/>
        </w:rPr>
        <w:t>shared transmission services</w:t>
      </w:r>
      <w:r w:rsidRPr="00DA0D6B">
        <w:t xml:space="preserve"> </w:t>
      </w:r>
      <w:r w:rsidRPr="00C149FD">
        <w:t xml:space="preserve">and </w:t>
      </w:r>
      <w:r>
        <w:t xml:space="preserve">AusNet Services or </w:t>
      </w:r>
      <w:r w:rsidRPr="00C149FD">
        <w:t xml:space="preserve">the relevant </w:t>
      </w:r>
      <w:r>
        <w:t xml:space="preserve">TNSP (as applicable) for </w:t>
      </w:r>
      <w:r>
        <w:rPr>
          <w:i/>
        </w:rPr>
        <w:t>connection services</w:t>
      </w:r>
      <w:r w:rsidRPr="00C149FD">
        <w:t xml:space="preserve">.  Additional agreements </w:t>
      </w:r>
      <w:r>
        <w:t>are</w:t>
      </w:r>
      <w:r w:rsidRPr="00C149FD">
        <w:t xml:space="preserve"> required if an </w:t>
      </w:r>
      <w:r w:rsidRPr="00C149FD">
        <w:rPr>
          <w:i/>
        </w:rPr>
        <w:t>augmentation</w:t>
      </w:r>
      <w:r w:rsidRPr="00C149FD">
        <w:t xml:space="preserve"> of the </w:t>
      </w:r>
      <w:r w:rsidRPr="00C149FD">
        <w:rPr>
          <w:i/>
        </w:rPr>
        <w:t xml:space="preserve">network </w:t>
      </w:r>
      <w:r w:rsidRPr="00C149FD">
        <w:t xml:space="preserve">is required to facilitate the </w:t>
      </w:r>
      <w:r w:rsidRPr="00C149FD">
        <w:rPr>
          <w:i/>
        </w:rPr>
        <w:t>connection</w:t>
      </w:r>
      <w:r w:rsidRPr="00C149FD">
        <w:t xml:space="preserve">, consistent with section 50F of the </w:t>
      </w:r>
      <w:r w:rsidRPr="00F57DE3">
        <w:rPr>
          <w:i/>
        </w:rPr>
        <w:t>National Electricity Law</w:t>
      </w:r>
      <w:r w:rsidRPr="00C149FD">
        <w:t xml:space="preserve"> and rule 8.11 of the </w:t>
      </w:r>
      <w:r w:rsidRPr="00F57DE3">
        <w:rPr>
          <w:i/>
        </w:rPr>
        <w:t>Rules</w:t>
      </w:r>
      <w:r w:rsidRPr="00C149FD">
        <w:t>.</w:t>
      </w:r>
      <w:r>
        <w:t xml:space="preserve"> </w:t>
      </w:r>
      <w:r w:rsidR="00AF2C0D">
        <w:t xml:space="preserve"> </w:t>
      </w:r>
      <w:r w:rsidRPr="00C149FD">
        <w:rPr>
          <w:i/>
        </w:rPr>
        <w:t>AEMO</w:t>
      </w:r>
      <w:r w:rsidRPr="00C149FD">
        <w:t xml:space="preserve"> has primary responsibility </w:t>
      </w:r>
      <w:r>
        <w:t xml:space="preserve">for assessing the impact of a proposed </w:t>
      </w:r>
      <w:r>
        <w:rPr>
          <w:i/>
        </w:rPr>
        <w:t xml:space="preserve">connection </w:t>
      </w:r>
      <w:r>
        <w:t xml:space="preserve">on the </w:t>
      </w:r>
      <w:r>
        <w:rPr>
          <w:iCs/>
        </w:rPr>
        <w:t xml:space="preserve">Victorian Transmission Network, including its effect on other </w:t>
      </w:r>
      <w:r>
        <w:rPr>
          <w:i/>
          <w:iCs/>
        </w:rPr>
        <w:t>Network Users</w:t>
      </w:r>
      <w:r>
        <w:rPr>
          <w:iCs/>
        </w:rPr>
        <w:t>.</w:t>
      </w:r>
      <w:r w:rsidRPr="00C149FD">
        <w:t xml:space="preserve"> </w:t>
      </w:r>
    </w:p>
    <w:p w14:paraId="47EECAF7" w14:textId="77777777" w:rsidR="003E602D" w:rsidRDefault="003E602D" w:rsidP="003E602D">
      <w:r w:rsidRPr="00C149FD">
        <w:t xml:space="preserve">In respect of enquiries for </w:t>
      </w:r>
      <w:r w:rsidRPr="00C149FD">
        <w:rPr>
          <w:i/>
        </w:rPr>
        <w:t>connection</w:t>
      </w:r>
      <w:r w:rsidRPr="00C149FD">
        <w:t xml:space="preserve"> to </w:t>
      </w:r>
      <w:r w:rsidRPr="00FB0412">
        <w:t xml:space="preserve">its </w:t>
      </w:r>
      <w:r w:rsidRPr="00FB0412">
        <w:rPr>
          <w:i/>
        </w:rPr>
        <w:t>transmission network</w:t>
      </w:r>
      <w:r w:rsidRPr="00FB0412">
        <w:t xml:space="preserve">, </w:t>
      </w:r>
      <w:r>
        <w:t>AusNet Services</w:t>
      </w:r>
      <w:r w:rsidRPr="00FB0412">
        <w:t xml:space="preserve"> or the relevant TNSP</w:t>
      </w:r>
      <w:r>
        <w:t xml:space="preserve"> (as applicable) </w:t>
      </w:r>
      <w:r w:rsidRPr="00C149FD">
        <w:t xml:space="preserve">has primary responsibility for assessing and advising a </w:t>
      </w:r>
      <w:r w:rsidRPr="00C149FD">
        <w:rPr>
          <w:i/>
        </w:rPr>
        <w:t>Service Applicant</w:t>
      </w:r>
      <w:r w:rsidRPr="00C149FD">
        <w:t xml:space="preserve"> </w:t>
      </w:r>
      <w:r>
        <w:t xml:space="preserve">on </w:t>
      </w:r>
      <w:r w:rsidRPr="00C149FD">
        <w:t xml:space="preserve">the </w:t>
      </w:r>
      <w:r w:rsidRPr="00C149FD">
        <w:rPr>
          <w:i/>
          <w:iCs/>
        </w:rPr>
        <w:t>connection assets</w:t>
      </w:r>
      <w:r w:rsidRPr="00C149FD">
        <w:t xml:space="preserve"> at the physical interface with its </w:t>
      </w:r>
      <w:r w:rsidRPr="00C149FD">
        <w:rPr>
          <w:i/>
        </w:rPr>
        <w:t>transmission network</w:t>
      </w:r>
      <w:r w:rsidRPr="00C149FD">
        <w:t xml:space="preserve"> (</w:t>
      </w:r>
      <w:r w:rsidRPr="00C149FD">
        <w:rPr>
          <w:i/>
        </w:rPr>
        <w:t>network</w:t>
      </w:r>
      <w:r w:rsidRPr="00C149FD">
        <w:t xml:space="preserve"> </w:t>
      </w:r>
      <w:r w:rsidRPr="00C149FD">
        <w:rPr>
          <w:i/>
        </w:rPr>
        <w:t>exit services</w:t>
      </w:r>
      <w:r w:rsidRPr="00C149FD">
        <w:t xml:space="preserve"> and </w:t>
      </w:r>
      <w:r w:rsidRPr="00C149FD">
        <w:rPr>
          <w:i/>
        </w:rPr>
        <w:t>network</w:t>
      </w:r>
      <w:r w:rsidRPr="00C149FD">
        <w:t xml:space="preserve"> </w:t>
      </w:r>
      <w:r w:rsidRPr="00C149FD">
        <w:rPr>
          <w:i/>
        </w:rPr>
        <w:t>entry services</w:t>
      </w:r>
      <w:r w:rsidRPr="00C149FD">
        <w:t>).</w:t>
      </w:r>
    </w:p>
    <w:p w14:paraId="2EED2FFA" w14:textId="77777777" w:rsidR="003E602D" w:rsidRPr="003E602D" w:rsidRDefault="003E602D" w:rsidP="003E602D">
      <w:pPr>
        <w:pStyle w:val="Heading1"/>
      </w:pPr>
      <w:bookmarkStart w:id="7" w:name="_Toc424297374"/>
      <w:r>
        <w:t>Application of Negotiating Framework</w:t>
      </w:r>
      <w:bookmarkEnd w:id="7"/>
    </w:p>
    <w:p w14:paraId="5C565499" w14:textId="77777777" w:rsidR="003E602D" w:rsidRDefault="003E602D" w:rsidP="003E602D">
      <w:r w:rsidRPr="00C149FD">
        <w:t xml:space="preserve">This </w:t>
      </w:r>
      <w:r w:rsidRPr="00DA0D6B">
        <w:rPr>
          <w:i/>
        </w:rPr>
        <w:t>negotiating framework</w:t>
      </w:r>
      <w:r w:rsidRPr="00C149FD">
        <w:t xml:space="preserve"> applies to</w:t>
      </w:r>
      <w:r>
        <w:t>:</w:t>
      </w:r>
    </w:p>
    <w:p w14:paraId="76F8560F" w14:textId="77777777" w:rsidR="003E602D" w:rsidRDefault="003E602D" w:rsidP="007C71A3">
      <w:pPr>
        <w:pStyle w:val="Bullet"/>
      </w:pPr>
      <w:r w:rsidRPr="00582B7D">
        <w:t xml:space="preserve">AEMO and each </w:t>
      </w:r>
      <w:r w:rsidRPr="00582B7D">
        <w:rPr>
          <w:i/>
        </w:rPr>
        <w:t>Service Applicant</w:t>
      </w:r>
      <w:r w:rsidRPr="00582B7D">
        <w:t xml:space="preserve"> who applies in writing to AEMO for the provision of </w:t>
      </w:r>
      <w:r w:rsidRPr="00582B7D">
        <w:rPr>
          <w:i/>
        </w:rPr>
        <w:t>shared transmission services</w:t>
      </w:r>
      <w:r w:rsidRPr="00582B7D">
        <w:t xml:space="preserve"> which are </w:t>
      </w:r>
      <w:r w:rsidRPr="00582B7D">
        <w:rPr>
          <w:i/>
        </w:rPr>
        <w:t>negotiated transmission services</w:t>
      </w:r>
      <w:r w:rsidRPr="00582B7D">
        <w:t xml:space="preserve">; </w:t>
      </w:r>
      <w:r>
        <w:t>and</w:t>
      </w:r>
    </w:p>
    <w:p w14:paraId="300A6D8B" w14:textId="77777777" w:rsidR="003E602D" w:rsidRDefault="003E602D" w:rsidP="007C71A3">
      <w:pPr>
        <w:pStyle w:val="Bullet"/>
      </w:pPr>
      <w:r>
        <w:t>AusNet Services</w:t>
      </w:r>
      <w:r w:rsidRPr="00582B7D">
        <w:t xml:space="preserve"> and each </w:t>
      </w:r>
      <w:r w:rsidRPr="00582B7D">
        <w:rPr>
          <w:i/>
        </w:rPr>
        <w:t>Service Applicant</w:t>
      </w:r>
      <w:r w:rsidRPr="00582B7D">
        <w:t xml:space="preserve"> who applies in writing to </w:t>
      </w:r>
      <w:r>
        <w:t>AusNet Services</w:t>
      </w:r>
      <w:r w:rsidRPr="00582B7D">
        <w:t xml:space="preserve"> for the provision of </w:t>
      </w:r>
      <w:r w:rsidRPr="00582B7D">
        <w:rPr>
          <w:i/>
        </w:rPr>
        <w:t xml:space="preserve">connection services </w:t>
      </w:r>
      <w:r w:rsidRPr="00582B7D">
        <w:t xml:space="preserve">which are </w:t>
      </w:r>
      <w:r w:rsidRPr="00582B7D">
        <w:rPr>
          <w:i/>
        </w:rPr>
        <w:t>negotiated transmission services</w:t>
      </w:r>
      <w:r>
        <w:t>,</w:t>
      </w:r>
    </w:p>
    <w:p w14:paraId="1B193D26" w14:textId="77777777" w:rsidR="003E602D" w:rsidRDefault="003E602D" w:rsidP="003E602D">
      <w:pPr>
        <w:rPr>
          <w:i/>
        </w:rPr>
      </w:pPr>
      <w:r>
        <w:t xml:space="preserve">(each a </w:t>
      </w:r>
      <w:r>
        <w:rPr>
          <w:b/>
        </w:rPr>
        <w:t xml:space="preserve">Negotiating </w:t>
      </w:r>
      <w:r w:rsidRPr="00153BFB">
        <w:rPr>
          <w:b/>
        </w:rPr>
        <w:t>P</w:t>
      </w:r>
      <w:r w:rsidRPr="00121388">
        <w:rPr>
          <w:b/>
        </w:rPr>
        <w:t>arty</w:t>
      </w:r>
      <w:r>
        <w:t xml:space="preserve"> in respect of the relevant </w:t>
      </w:r>
      <w:r>
        <w:rPr>
          <w:i/>
        </w:rPr>
        <w:t>negotiated transmission service</w:t>
      </w:r>
      <w:r>
        <w:t>).</w:t>
      </w:r>
      <w:r>
        <w:rPr>
          <w:i/>
        </w:rPr>
        <w:t xml:space="preserve"> </w:t>
      </w:r>
    </w:p>
    <w:p w14:paraId="324B9181" w14:textId="77777777" w:rsidR="003E602D" w:rsidRPr="00C149FD" w:rsidRDefault="003E602D" w:rsidP="003E602D">
      <w:r>
        <w:t xml:space="preserve">The Negotiating Parties </w:t>
      </w:r>
      <w:r w:rsidRPr="00C149FD">
        <w:t xml:space="preserve">must comply with the requirements of this </w:t>
      </w:r>
      <w:r w:rsidRPr="00C149FD">
        <w:rPr>
          <w:i/>
        </w:rPr>
        <w:t>negotiating framework</w:t>
      </w:r>
      <w:r w:rsidRPr="00C149FD">
        <w:t xml:space="preserve"> in accordance with </w:t>
      </w:r>
      <w:r>
        <w:t>r</w:t>
      </w:r>
      <w:r w:rsidRPr="00C149FD">
        <w:t>ule 6A.9.5(e).</w:t>
      </w:r>
    </w:p>
    <w:p w14:paraId="1819CC45" w14:textId="77777777" w:rsidR="003E602D" w:rsidRDefault="003E602D" w:rsidP="003E602D">
      <w:r w:rsidRPr="00C149FD">
        <w:t xml:space="preserve">The requirements set out in this </w:t>
      </w:r>
      <w:r w:rsidRPr="00C149FD">
        <w:rPr>
          <w:i/>
        </w:rPr>
        <w:t>negotiating framework</w:t>
      </w:r>
      <w:r w:rsidRPr="00C149FD">
        <w:t xml:space="preserve"> are </w:t>
      </w:r>
      <w:r>
        <w:t xml:space="preserve">in </w:t>
      </w:r>
      <w:r w:rsidRPr="00C149FD">
        <w:t xml:space="preserve">addition to any requirements or obligations contained in Chapters 4, 5 and 6A </w:t>
      </w:r>
      <w:r>
        <w:t xml:space="preserve">and 8 </w:t>
      </w:r>
      <w:r w:rsidRPr="00C149FD">
        <w:t xml:space="preserve">of the </w:t>
      </w:r>
      <w:r w:rsidRPr="00F57DE3">
        <w:rPr>
          <w:i/>
        </w:rPr>
        <w:t>Rules</w:t>
      </w:r>
      <w:r w:rsidRPr="00C149FD">
        <w:t xml:space="preserve">.  In the event of any inconsistency between this </w:t>
      </w:r>
      <w:r w:rsidRPr="00C149FD">
        <w:rPr>
          <w:i/>
        </w:rPr>
        <w:t>negotiating framework</w:t>
      </w:r>
      <w:r w:rsidRPr="00C149FD">
        <w:t xml:space="preserve"> and any other requirement of the </w:t>
      </w:r>
      <w:r w:rsidRPr="00F57DE3">
        <w:rPr>
          <w:i/>
        </w:rPr>
        <w:t>Rules</w:t>
      </w:r>
      <w:r w:rsidRPr="00C149FD">
        <w:t xml:space="preserve">, the requirements of the </w:t>
      </w:r>
      <w:r w:rsidRPr="00F57DE3">
        <w:rPr>
          <w:i/>
        </w:rPr>
        <w:t>Rules</w:t>
      </w:r>
      <w:r w:rsidRPr="00C149FD">
        <w:t xml:space="preserve"> will prevail.</w:t>
      </w:r>
    </w:p>
    <w:p w14:paraId="30BE34B4" w14:textId="77777777" w:rsidR="003E602D" w:rsidRDefault="003E602D" w:rsidP="003E602D">
      <w:r w:rsidRPr="00C149FD">
        <w:t xml:space="preserve">Nothing in this </w:t>
      </w:r>
      <w:r w:rsidRPr="00C149FD">
        <w:rPr>
          <w:i/>
        </w:rPr>
        <w:t>negotiating framework</w:t>
      </w:r>
      <w:r w:rsidRPr="00C149FD">
        <w:t xml:space="preserve"> will be taken as imposing an obligation on</w:t>
      </w:r>
      <w:r>
        <w:t xml:space="preserve"> AEMO or AusNet Services</w:t>
      </w:r>
      <w:r w:rsidRPr="00C149FD">
        <w:t xml:space="preserve"> to provide any service to the </w:t>
      </w:r>
      <w:r w:rsidRPr="00C149FD">
        <w:rPr>
          <w:i/>
        </w:rPr>
        <w:t>Service Applicant</w:t>
      </w:r>
      <w:r w:rsidRPr="00C149FD">
        <w:t xml:space="preserve">. </w:t>
      </w:r>
    </w:p>
    <w:p w14:paraId="0BF8BBBB" w14:textId="77777777" w:rsidR="003E602D" w:rsidRDefault="003E602D" w:rsidP="003E602D">
      <w:r>
        <w:t xml:space="preserve">This </w:t>
      </w:r>
      <w:r>
        <w:rPr>
          <w:i/>
        </w:rPr>
        <w:t xml:space="preserve">negotiating framework </w:t>
      </w:r>
      <w:r>
        <w:t xml:space="preserve">is intended to be capable of adoption by other </w:t>
      </w:r>
      <w:r>
        <w:rPr>
          <w:i/>
        </w:rPr>
        <w:t xml:space="preserve">declared transmission system operators </w:t>
      </w:r>
      <w:r>
        <w:t xml:space="preserve">in respect of the </w:t>
      </w:r>
      <w:r>
        <w:rPr>
          <w:i/>
        </w:rPr>
        <w:t xml:space="preserve">connection services </w:t>
      </w:r>
      <w:r>
        <w:t xml:space="preserve">they provide in Victoria, subject to </w:t>
      </w:r>
      <w:r w:rsidRPr="00C149FD">
        <w:rPr>
          <w:i/>
        </w:rPr>
        <w:t>AER</w:t>
      </w:r>
      <w:r>
        <w:t xml:space="preserve"> approval</w:t>
      </w:r>
      <w:r w:rsidRPr="001E7B28">
        <w:t xml:space="preserve">.  </w:t>
      </w:r>
      <w:r>
        <w:t xml:space="preserve"> </w:t>
      </w:r>
    </w:p>
    <w:p w14:paraId="60469C58" w14:textId="77777777" w:rsidR="003E602D" w:rsidRDefault="003E602D" w:rsidP="003E602D">
      <w:pPr>
        <w:pStyle w:val="Heading1"/>
      </w:pPr>
      <w:bookmarkStart w:id="8" w:name="_Toc424297375"/>
      <w:r>
        <w:lastRenderedPageBreak/>
        <w:t>Conduct of Negotiations</w:t>
      </w:r>
      <w:bookmarkEnd w:id="8"/>
    </w:p>
    <w:p w14:paraId="0FE8CAA4" w14:textId="77777777" w:rsidR="003E602D" w:rsidRPr="001F3B0E" w:rsidRDefault="003E602D" w:rsidP="003E602D">
      <w:pPr>
        <w:rPr>
          <w:b/>
          <w:color w:val="0070C0"/>
        </w:rPr>
      </w:pPr>
      <w:r w:rsidRPr="001F3B0E">
        <w:rPr>
          <w:b/>
          <w:color w:val="0070C0"/>
        </w:rPr>
        <w:t>Good faith</w:t>
      </w:r>
    </w:p>
    <w:p w14:paraId="70B2B3EA" w14:textId="77777777" w:rsidR="003E602D" w:rsidRDefault="003E602D" w:rsidP="003E602D">
      <w:r>
        <w:t xml:space="preserve">Each Negotiating Party </w:t>
      </w:r>
      <w:r w:rsidRPr="00C149FD">
        <w:t xml:space="preserve">must negotiate in good faith the </w:t>
      </w:r>
      <w:r w:rsidRPr="002B0C8F">
        <w:rPr>
          <w:i/>
        </w:rPr>
        <w:t>terms and conditions of access</w:t>
      </w:r>
      <w:r w:rsidRPr="00003BA5">
        <w:t xml:space="preserve"> </w:t>
      </w:r>
      <w:r w:rsidRPr="00C149FD">
        <w:t xml:space="preserve">for the provision of the </w:t>
      </w:r>
      <w:r w:rsidRPr="00003BA5">
        <w:rPr>
          <w:i/>
        </w:rPr>
        <w:t>negotiated transmission service</w:t>
      </w:r>
      <w:r w:rsidRPr="00C149FD">
        <w:t xml:space="preserve"> sought by the</w:t>
      </w:r>
      <w:r w:rsidRPr="00003BA5">
        <w:t xml:space="preserve"> </w:t>
      </w:r>
      <w:r w:rsidRPr="00003BA5">
        <w:rPr>
          <w:i/>
        </w:rPr>
        <w:t>Service Applicant</w:t>
      </w:r>
      <w:r w:rsidRPr="00C149FD">
        <w:t xml:space="preserve">. </w:t>
      </w:r>
    </w:p>
    <w:p w14:paraId="12AD1D02" w14:textId="77777777" w:rsidR="003E602D" w:rsidRPr="001F3B0E" w:rsidRDefault="003E602D" w:rsidP="003E602D">
      <w:pPr>
        <w:rPr>
          <w:b/>
          <w:color w:val="0070C0"/>
        </w:rPr>
      </w:pPr>
      <w:r w:rsidRPr="001F3B0E">
        <w:rPr>
          <w:b/>
          <w:color w:val="0070C0"/>
        </w:rPr>
        <w:t>AEMO policies</w:t>
      </w:r>
    </w:p>
    <w:p w14:paraId="163E9917" w14:textId="77777777" w:rsidR="003E602D" w:rsidRPr="00D97AC0" w:rsidRDefault="003E602D" w:rsidP="003E602D">
      <w:r>
        <w:t>AEMO may, from time to time and after public consultation,</w:t>
      </w:r>
      <w:r w:rsidRPr="001C0983">
        <w:rPr>
          <w:i/>
        </w:rPr>
        <w:t xml:space="preserve"> publish</w:t>
      </w:r>
      <w:r>
        <w:t xml:space="preserve"> policies and associated documents relating to cost allocation and other matters relevant to the negotiation of terms and conditions for the provision of </w:t>
      </w:r>
      <w:r w:rsidRPr="001C0983">
        <w:rPr>
          <w:i/>
        </w:rPr>
        <w:t>shared transmission services</w:t>
      </w:r>
      <w:r>
        <w:t xml:space="preserve">.  Negotiations for the provision of those services by AEMO will be conducted in accordance with any applicable policies. </w:t>
      </w:r>
    </w:p>
    <w:p w14:paraId="7A83C624" w14:textId="77777777" w:rsidR="003E602D" w:rsidRDefault="003E602D" w:rsidP="003E602D">
      <w:pPr>
        <w:pStyle w:val="Heading1"/>
      </w:pPr>
      <w:bookmarkStart w:id="9" w:name="_Toc424297376"/>
      <w:r>
        <w:t>Timeframe for Negotiations</w:t>
      </w:r>
      <w:bookmarkEnd w:id="9"/>
    </w:p>
    <w:p w14:paraId="2C555B86" w14:textId="77777777" w:rsidR="003E602D" w:rsidRDefault="003E602D" w:rsidP="003E602D">
      <w:r w:rsidRPr="00C149FD">
        <w:t xml:space="preserve">Chapter 5 of the </w:t>
      </w:r>
      <w:r w:rsidRPr="00F57DE3">
        <w:rPr>
          <w:i/>
        </w:rPr>
        <w:t>Rules</w:t>
      </w:r>
      <w:r w:rsidRPr="00C149FD">
        <w:t xml:space="preserve"> provides the framework for </w:t>
      </w:r>
      <w:r w:rsidRPr="00C149FD">
        <w:rPr>
          <w:i/>
        </w:rPr>
        <w:t>connection</w:t>
      </w:r>
      <w:r w:rsidRPr="00C149FD">
        <w:t xml:space="preserve"> to </w:t>
      </w:r>
      <w:r>
        <w:t>the Victorian Transmission Network</w:t>
      </w:r>
      <w:r w:rsidRPr="00C149FD">
        <w:t xml:space="preserve">.  Applications for </w:t>
      </w:r>
      <w:r w:rsidRPr="00C149FD">
        <w:rPr>
          <w:i/>
        </w:rPr>
        <w:t>negotiated transmission services</w:t>
      </w:r>
      <w:r w:rsidRPr="00C149FD">
        <w:t xml:space="preserve"> must be commenced, progressed and finalised in accordance with the timeframes and requirements set out in Chapter 5 of the </w:t>
      </w:r>
      <w:r w:rsidRPr="00F57DE3">
        <w:rPr>
          <w:i/>
        </w:rPr>
        <w:t>Rules</w:t>
      </w:r>
      <w:r w:rsidRPr="00C149FD">
        <w:t xml:space="preserve">, unless otherwise agreed between the </w:t>
      </w:r>
      <w:r>
        <w:t>Negotiating Parties</w:t>
      </w:r>
      <w:r w:rsidRPr="00C149FD">
        <w:t xml:space="preserve">.  </w:t>
      </w:r>
      <w:r w:rsidRPr="00560B4B">
        <w:t xml:space="preserve">In addition, </w:t>
      </w:r>
      <w:r>
        <w:t>AusNet Services</w:t>
      </w:r>
      <w:r w:rsidRPr="00560B4B">
        <w:t xml:space="preserve"> </w:t>
      </w:r>
      <w:r>
        <w:t xml:space="preserve">will </w:t>
      </w:r>
      <w:r w:rsidRPr="00560B4B">
        <w:t xml:space="preserve">make an offer to connect within </w:t>
      </w:r>
      <w:r>
        <w:t xml:space="preserve">any time period specified in its transmission licence.  </w:t>
      </w:r>
      <w:r w:rsidRPr="00D36D2A">
        <w:t xml:space="preserve">As at the date of this </w:t>
      </w:r>
      <w:r w:rsidRPr="00D36D2A">
        <w:rPr>
          <w:i/>
        </w:rPr>
        <w:t>negotiating framework</w:t>
      </w:r>
      <w:r w:rsidRPr="00D36D2A">
        <w:t xml:space="preserve">, that period is 65 Business Days after receiving all information </w:t>
      </w:r>
      <w:r>
        <w:t>AusNet Services</w:t>
      </w:r>
      <w:r w:rsidRPr="00D36D2A">
        <w:t xml:space="preserve"> reasonably requires to make the </w:t>
      </w:r>
      <w:r w:rsidRPr="00D36D2A">
        <w:rPr>
          <w:i/>
        </w:rPr>
        <w:t xml:space="preserve">connection </w:t>
      </w:r>
      <w:r w:rsidRPr="00D36D2A">
        <w:t>offer.</w:t>
      </w:r>
      <w:r>
        <w:t xml:space="preserve">  </w:t>
      </w:r>
    </w:p>
    <w:p w14:paraId="61A4F4AD" w14:textId="77777777" w:rsidR="003E602D" w:rsidRDefault="003E602D" w:rsidP="003E602D">
      <w:r>
        <w:t xml:space="preserve">Each of AEMO and AusNet Services will give the </w:t>
      </w:r>
      <w:r w:rsidRPr="00C149FD">
        <w:rPr>
          <w:i/>
        </w:rPr>
        <w:t>Service Applicant</w:t>
      </w:r>
      <w:r w:rsidRPr="00560B4B">
        <w:t xml:space="preserve"> </w:t>
      </w:r>
      <w:r>
        <w:t xml:space="preserve">a </w:t>
      </w:r>
      <w:r w:rsidRPr="00560B4B">
        <w:rPr>
          <w:i/>
          <w:iCs/>
        </w:rPr>
        <w:t>preliminary program</w:t>
      </w:r>
      <w:r w:rsidRPr="00560B4B">
        <w:t xml:space="preserve"> in response to the </w:t>
      </w:r>
      <w:r w:rsidRPr="00560B4B">
        <w:rPr>
          <w:iCs/>
        </w:rPr>
        <w:t>connection enquiry</w:t>
      </w:r>
      <w:r>
        <w:rPr>
          <w:iCs/>
        </w:rPr>
        <w:t xml:space="preserve"> as required by clause 5.3.3(b)(6) of the </w:t>
      </w:r>
      <w:r w:rsidRPr="00F57DE3">
        <w:rPr>
          <w:i/>
          <w:iCs/>
        </w:rPr>
        <w:t>Rules</w:t>
      </w:r>
      <w:r>
        <w:rPr>
          <w:iCs/>
        </w:rPr>
        <w:t>, which</w:t>
      </w:r>
      <w:r w:rsidRPr="00560B4B">
        <w:t xml:space="preserve"> will include </w:t>
      </w:r>
      <w:r>
        <w:t xml:space="preserve">reasonable </w:t>
      </w:r>
      <w:r w:rsidRPr="00560B4B">
        <w:t xml:space="preserve">milestones for provision of an </w:t>
      </w:r>
      <w:r w:rsidRPr="00560B4B">
        <w:rPr>
          <w:iCs/>
        </w:rPr>
        <w:t xml:space="preserve">offer to </w:t>
      </w:r>
      <w:r w:rsidRPr="00560B4B">
        <w:rPr>
          <w:i/>
          <w:iCs/>
        </w:rPr>
        <w:t>connect</w:t>
      </w:r>
      <w:r w:rsidRPr="00560B4B">
        <w:t xml:space="preserve"> and for execution of a </w:t>
      </w:r>
      <w:r w:rsidRPr="00560B4B">
        <w:rPr>
          <w:i/>
          <w:iCs/>
        </w:rPr>
        <w:t>connection agreement</w:t>
      </w:r>
      <w:r w:rsidRPr="00560B4B">
        <w:t>.</w:t>
      </w:r>
    </w:p>
    <w:p w14:paraId="104B7840" w14:textId="77777777" w:rsidR="003E602D" w:rsidRPr="00C149FD" w:rsidRDefault="003E602D" w:rsidP="003E602D">
      <w:r>
        <w:t>The Negotiating Parties</w:t>
      </w:r>
      <w:r w:rsidRPr="00C149FD">
        <w:t xml:space="preserve"> must use reasonable endeavours to adhere to the time periods </w:t>
      </w:r>
      <w:r>
        <w:t>referred to in this section, subject to section 12</w:t>
      </w:r>
      <w:r w:rsidRPr="00C149FD">
        <w:t xml:space="preserve">.  </w:t>
      </w:r>
    </w:p>
    <w:p w14:paraId="3A50FC34" w14:textId="77777777" w:rsidR="003E602D" w:rsidRPr="00C149FD" w:rsidRDefault="003E602D" w:rsidP="003E602D">
      <w:r w:rsidRPr="00C149FD">
        <w:t xml:space="preserve">Notwithstanding any other provision of this </w:t>
      </w:r>
      <w:r w:rsidRPr="00C149FD">
        <w:rPr>
          <w:i/>
        </w:rPr>
        <w:t>negotiating framework</w:t>
      </w:r>
      <w:r w:rsidRPr="00C149FD">
        <w:t xml:space="preserve">, the timeframes </w:t>
      </w:r>
      <w:r>
        <w:t xml:space="preserve">referred to </w:t>
      </w:r>
      <w:r w:rsidRPr="00C149FD">
        <w:t>in this section:</w:t>
      </w:r>
    </w:p>
    <w:p w14:paraId="4FE81F45" w14:textId="77777777" w:rsidR="003E602D" w:rsidRPr="00C149FD" w:rsidRDefault="007C71A3" w:rsidP="007C71A3">
      <w:pPr>
        <w:pStyle w:val="Bullet"/>
      </w:pPr>
      <w:r>
        <w:t>D</w:t>
      </w:r>
      <w:r w:rsidR="003E602D" w:rsidRPr="00C149FD">
        <w:t xml:space="preserve">o not commence until payment of the </w:t>
      </w:r>
      <w:r w:rsidR="003E602D">
        <w:t xml:space="preserve">application fee </w:t>
      </w:r>
      <w:r w:rsidR="003E602D" w:rsidRPr="00C149FD">
        <w:t xml:space="preserve">pursuant to section 6; and </w:t>
      </w:r>
    </w:p>
    <w:p w14:paraId="170485BE" w14:textId="7F24542F" w:rsidR="003E602D" w:rsidRPr="008E78AA" w:rsidRDefault="007C71A3" w:rsidP="007C71A3">
      <w:pPr>
        <w:pStyle w:val="Bullet"/>
      </w:pPr>
      <w:r>
        <w:t>R</w:t>
      </w:r>
      <w:r w:rsidR="003E602D" w:rsidRPr="00C149FD">
        <w:t>e</w:t>
      </w:r>
      <w:r w:rsidR="001037CD">
        <w:t>set</w:t>
      </w:r>
      <w:r w:rsidR="003E602D" w:rsidRPr="00C149FD">
        <w:t xml:space="preserve"> if there is a material change in the </w:t>
      </w:r>
      <w:r w:rsidR="003E602D" w:rsidRPr="00C149FD">
        <w:rPr>
          <w:i/>
        </w:rPr>
        <w:t>negotiated transmission service</w:t>
      </w:r>
      <w:r w:rsidR="003E602D" w:rsidRPr="00C149FD">
        <w:t xml:space="preserve"> sought by the </w:t>
      </w:r>
      <w:r w:rsidR="003E602D" w:rsidRPr="00C149FD">
        <w:rPr>
          <w:i/>
        </w:rPr>
        <w:t>Service Applicant</w:t>
      </w:r>
      <w:r w:rsidR="003E602D" w:rsidRPr="00C149FD">
        <w:t>, unless</w:t>
      </w:r>
      <w:r w:rsidR="003E602D">
        <w:t xml:space="preserve"> AEMO or</w:t>
      </w:r>
      <w:r w:rsidR="003E602D" w:rsidRPr="00C149FD">
        <w:t xml:space="preserve"> </w:t>
      </w:r>
      <w:r w:rsidR="003E602D">
        <w:t>AusNet Services</w:t>
      </w:r>
      <w:r w:rsidR="003E602D" w:rsidRPr="00C149FD">
        <w:t xml:space="preserve"> agrees otherwise. </w:t>
      </w:r>
    </w:p>
    <w:p w14:paraId="238B7E2D" w14:textId="77777777" w:rsidR="003E602D" w:rsidRDefault="003E602D" w:rsidP="003E602D">
      <w:pPr>
        <w:pStyle w:val="Heading1"/>
      </w:pPr>
      <w:bookmarkStart w:id="10" w:name="_Toc424297377"/>
      <w:r>
        <w:t>Costs of Investigation and Negotiation</w:t>
      </w:r>
      <w:bookmarkEnd w:id="10"/>
    </w:p>
    <w:p w14:paraId="39744802" w14:textId="77777777" w:rsidR="003E602D" w:rsidRPr="00C149FD" w:rsidRDefault="003E602D" w:rsidP="003E602D">
      <w:r w:rsidRPr="00C149FD">
        <w:t xml:space="preserve">Prior to commencing negotiations, the </w:t>
      </w:r>
      <w:r w:rsidRPr="00C149FD">
        <w:rPr>
          <w:i/>
        </w:rPr>
        <w:t>Service Applicant</w:t>
      </w:r>
      <w:r w:rsidRPr="00C149FD">
        <w:t xml:space="preserve"> must pay an application fee to </w:t>
      </w:r>
      <w:r>
        <w:t>AEMO and/or AusNet Services</w:t>
      </w:r>
      <w:r w:rsidRPr="00C149FD">
        <w:t xml:space="preserve"> </w:t>
      </w:r>
      <w:r>
        <w:t>(as applicable), such amounts not being more than necessary to</w:t>
      </w:r>
      <w:r w:rsidRPr="00C149FD">
        <w:t>:</w:t>
      </w:r>
    </w:p>
    <w:p w14:paraId="3CFB4F64" w14:textId="77777777" w:rsidR="003E602D" w:rsidRPr="00C149FD" w:rsidRDefault="007C71A3" w:rsidP="007C71A3">
      <w:pPr>
        <w:pStyle w:val="Bullet"/>
      </w:pPr>
      <w:r>
        <w:t>C</w:t>
      </w:r>
      <w:r w:rsidR="003E602D">
        <w:t xml:space="preserve">over </w:t>
      </w:r>
      <w:r w:rsidR="003E602D" w:rsidRPr="00C149FD">
        <w:t xml:space="preserve">the reasonable costs of </w:t>
      </w:r>
      <w:r w:rsidR="003E602D">
        <w:t xml:space="preserve">AEMO and/or AusNet Services </w:t>
      </w:r>
      <w:r w:rsidR="003E602D" w:rsidRPr="00D36D2A">
        <w:t>(as applicable)</w:t>
      </w:r>
      <w:r w:rsidR="003E602D">
        <w:t xml:space="preserve"> </w:t>
      </w:r>
      <w:r w:rsidR="003E602D" w:rsidRPr="00C149FD">
        <w:t xml:space="preserve">anticipated to arise from investigating the </w:t>
      </w:r>
      <w:r w:rsidR="003E602D" w:rsidRPr="00C149FD">
        <w:rPr>
          <w:i/>
          <w:iCs/>
        </w:rPr>
        <w:t xml:space="preserve">application to connect </w:t>
      </w:r>
      <w:r w:rsidR="003E602D" w:rsidRPr="00C149FD">
        <w:t xml:space="preserve">and preparing the associated offer to </w:t>
      </w:r>
      <w:r w:rsidR="003E602D" w:rsidRPr="00C149FD">
        <w:rPr>
          <w:i/>
          <w:iCs/>
        </w:rPr>
        <w:t>connect</w:t>
      </w:r>
      <w:r w:rsidR="003E602D" w:rsidRPr="00C149FD">
        <w:t xml:space="preserve">; and </w:t>
      </w:r>
    </w:p>
    <w:p w14:paraId="102180EE" w14:textId="77777777" w:rsidR="003E602D" w:rsidRPr="00C149FD" w:rsidRDefault="007C71A3" w:rsidP="007C71A3">
      <w:pPr>
        <w:pStyle w:val="Bullet"/>
      </w:pPr>
      <w:r>
        <w:t>M</w:t>
      </w:r>
      <w:r w:rsidR="003E602D">
        <w:t xml:space="preserve">eet </w:t>
      </w:r>
      <w:r w:rsidR="003E602D" w:rsidRPr="00C149FD">
        <w:t xml:space="preserve">the reasonable costs anticipated to be incurred by other </w:t>
      </w:r>
      <w:r w:rsidR="003E602D" w:rsidRPr="00C149FD">
        <w:rPr>
          <w:i/>
          <w:iCs/>
        </w:rPr>
        <w:t>Network Service Providers</w:t>
      </w:r>
      <w:r w:rsidR="003E602D">
        <w:rPr>
          <w:iCs/>
        </w:rPr>
        <w:t>, to the extent that their</w:t>
      </w:r>
      <w:r w:rsidR="003E602D" w:rsidRPr="00C149FD">
        <w:t xml:space="preserve"> participation in the assessment of the </w:t>
      </w:r>
      <w:r w:rsidR="003E602D" w:rsidRPr="00C149FD">
        <w:rPr>
          <w:i/>
          <w:iCs/>
        </w:rPr>
        <w:t xml:space="preserve">application to connect </w:t>
      </w:r>
      <w:r w:rsidR="003E602D" w:rsidRPr="00C149FD">
        <w:t>will be required.</w:t>
      </w:r>
    </w:p>
    <w:p w14:paraId="705BD684" w14:textId="77777777" w:rsidR="003E602D" w:rsidRDefault="003E602D" w:rsidP="003E602D">
      <w:r w:rsidRPr="00C149FD">
        <w:t xml:space="preserve">From time to time, </w:t>
      </w:r>
      <w:r>
        <w:t>AEMO or AusNet Services</w:t>
      </w:r>
      <w:r w:rsidRPr="00C149FD">
        <w:t xml:space="preserve"> may give the </w:t>
      </w:r>
      <w:r w:rsidRPr="00C149FD">
        <w:rPr>
          <w:i/>
        </w:rPr>
        <w:t>Service Applicant</w:t>
      </w:r>
      <w:r w:rsidRPr="00C149FD">
        <w:t xml:space="preserve"> a notice setting out the reasonable costs </w:t>
      </w:r>
      <w:r>
        <w:t>it</w:t>
      </w:r>
      <w:r w:rsidRPr="00C149FD">
        <w:t xml:space="preserve">, or any other </w:t>
      </w:r>
      <w:r w:rsidRPr="00C149FD">
        <w:rPr>
          <w:i/>
        </w:rPr>
        <w:t>Network Service Provider</w:t>
      </w:r>
      <w:r>
        <w:t>, incurs</w:t>
      </w:r>
      <w:r w:rsidRPr="00C149FD">
        <w:t xml:space="preserve">.  If the aggregate of the costs incurred </w:t>
      </w:r>
      <w:r w:rsidRPr="00D36D2A">
        <w:t xml:space="preserve">exceed the application fee and any additional amount already paid by the </w:t>
      </w:r>
      <w:r w:rsidRPr="00D36D2A">
        <w:rPr>
          <w:i/>
        </w:rPr>
        <w:t xml:space="preserve">Service Applicant </w:t>
      </w:r>
      <w:r w:rsidRPr="00D36D2A">
        <w:t>under this section</w:t>
      </w:r>
      <w:r w:rsidRPr="00C149FD">
        <w:t xml:space="preserve">, the </w:t>
      </w:r>
      <w:r w:rsidRPr="00C149FD">
        <w:rPr>
          <w:i/>
        </w:rPr>
        <w:t>Service Applicant</w:t>
      </w:r>
      <w:r w:rsidRPr="00C149FD">
        <w:t xml:space="preserve"> must pay such excess within 20 Business Days of receipt of an invoice. </w:t>
      </w:r>
    </w:p>
    <w:p w14:paraId="0E417EAA" w14:textId="77777777" w:rsidR="003E602D" w:rsidRDefault="003E602D" w:rsidP="003E602D">
      <w:r>
        <w:lastRenderedPageBreak/>
        <w:t>Each of AEMO and AusNet Services</w:t>
      </w:r>
      <w:r w:rsidRPr="00C149FD">
        <w:t xml:space="preserve"> may require the </w:t>
      </w:r>
      <w:r w:rsidRPr="00C149FD">
        <w:rPr>
          <w:i/>
        </w:rPr>
        <w:t xml:space="preserve">Service Applicant </w:t>
      </w:r>
      <w:r w:rsidRPr="00C149FD">
        <w:t xml:space="preserve">to enter into a binding agreement </w:t>
      </w:r>
      <w:r>
        <w:t xml:space="preserve">with it that </w:t>
      </w:r>
      <w:r w:rsidRPr="00C149FD">
        <w:t>address</w:t>
      </w:r>
      <w:r>
        <w:t>es</w:t>
      </w:r>
      <w:r w:rsidRPr="00C149FD">
        <w:t xml:space="preserve"> conditions, guarantees and other matters in relation to the costs</w:t>
      </w:r>
      <w:r>
        <w:t xml:space="preserve"> of investigation and negotiation</w:t>
      </w:r>
      <w:r w:rsidRPr="00C149FD">
        <w:t>.</w:t>
      </w:r>
    </w:p>
    <w:p w14:paraId="01A50B37" w14:textId="77777777" w:rsidR="003E602D" w:rsidRDefault="003E602D" w:rsidP="003E602D">
      <w:pPr>
        <w:pStyle w:val="Heading1"/>
      </w:pPr>
      <w:bookmarkStart w:id="11" w:name="_Toc424297378"/>
      <w:r>
        <w:t>Charges for Negotiated Transmission Services</w:t>
      </w:r>
      <w:bookmarkEnd w:id="11"/>
    </w:p>
    <w:p w14:paraId="33ABED16" w14:textId="77777777" w:rsidR="003E602D" w:rsidRDefault="003E602D" w:rsidP="003E602D">
      <w:r w:rsidRPr="00C149FD">
        <w:t xml:space="preserve">The price (charges) for </w:t>
      </w:r>
      <w:r w:rsidRPr="00C149FD">
        <w:rPr>
          <w:i/>
        </w:rPr>
        <w:t>negotiated transmission services</w:t>
      </w:r>
      <w:r w:rsidRPr="00C149FD">
        <w:t xml:space="preserve"> must be in accordance with the principles set out in </w:t>
      </w:r>
      <w:r>
        <w:t xml:space="preserve">clause </w:t>
      </w:r>
      <w:r w:rsidRPr="00C149FD">
        <w:t>6A.9.1</w:t>
      </w:r>
      <w:r>
        <w:t xml:space="preserve"> of the </w:t>
      </w:r>
      <w:r w:rsidRPr="00F57DE3">
        <w:rPr>
          <w:i/>
        </w:rPr>
        <w:t>Rules</w:t>
      </w:r>
      <w:r w:rsidRPr="00C149FD">
        <w:t xml:space="preserve">.  Accordingly, </w:t>
      </w:r>
      <w:r>
        <w:t xml:space="preserve">an </w:t>
      </w:r>
      <w:r w:rsidRPr="00C149FD">
        <w:t xml:space="preserve">offer to </w:t>
      </w:r>
      <w:r w:rsidRPr="00C149FD">
        <w:rPr>
          <w:i/>
        </w:rPr>
        <w:t>connect</w:t>
      </w:r>
      <w:r w:rsidRPr="00C149FD">
        <w:t xml:space="preserve"> will include charges which are “based on the costs incurred in providing that service, determined in accordance with the principles and policies set out in the</w:t>
      </w:r>
      <w:r w:rsidRPr="00870C4A">
        <w:rPr>
          <w:i/>
        </w:rPr>
        <w:t xml:space="preserve"> Cost Allocation Methodology</w:t>
      </w:r>
      <w:r w:rsidRPr="00C149FD">
        <w:t>” (as per</w:t>
      </w:r>
      <w:r>
        <w:t xml:space="preserve"> clause</w:t>
      </w:r>
      <w:r w:rsidRPr="00C149FD">
        <w:t xml:space="preserve"> 6A.9.1(1)), and taking into account all other</w:t>
      </w:r>
      <w:r>
        <w:t xml:space="preserve"> applicable </w:t>
      </w:r>
      <w:r>
        <w:rPr>
          <w:i/>
        </w:rPr>
        <w:t>Negotiated Transmission Service Principles</w:t>
      </w:r>
      <w:r w:rsidRPr="00C149FD">
        <w:t xml:space="preserve">.  </w:t>
      </w:r>
      <w:r>
        <w:t xml:space="preserve">In relation to AEMO </w:t>
      </w:r>
      <w:r w:rsidRPr="009C0CC0">
        <w:t>a reference to “</w:t>
      </w:r>
      <w:r w:rsidRPr="00870C4A">
        <w:rPr>
          <w:i/>
        </w:rPr>
        <w:t>Cost Allocation Methodology</w:t>
      </w:r>
      <w:r w:rsidRPr="009C0CC0">
        <w:t>” is taken to be a reference to AEMO’s published revenue methodology</w:t>
      </w:r>
      <w:r>
        <w:t xml:space="preserve">.  As noted in section 4, AEMO may also publish </w:t>
      </w:r>
      <w:r w:rsidR="003B57A4">
        <w:t xml:space="preserve">(or publish amendments to) </w:t>
      </w:r>
      <w:r>
        <w:t xml:space="preserve">cost allocation policies applicable to </w:t>
      </w:r>
      <w:r>
        <w:rPr>
          <w:i/>
        </w:rPr>
        <w:t>shared transmission services</w:t>
      </w:r>
      <w:r>
        <w:t>.</w:t>
      </w:r>
    </w:p>
    <w:p w14:paraId="65B32FFF" w14:textId="77777777" w:rsidR="003E602D" w:rsidRDefault="003E602D" w:rsidP="003E602D">
      <w:r>
        <w:t>The Negotiating Parties</w:t>
      </w:r>
      <w:r w:rsidRPr="00C149FD">
        <w:rPr>
          <w:i/>
          <w:iCs/>
        </w:rPr>
        <w:t xml:space="preserve"> </w:t>
      </w:r>
      <w:r w:rsidRPr="00C149FD">
        <w:t>may agree to an alternative scope of works and price through the negotiation process.</w:t>
      </w:r>
    </w:p>
    <w:p w14:paraId="26452829" w14:textId="77777777" w:rsidR="003E602D" w:rsidRDefault="003E602D" w:rsidP="003E602D">
      <w:pPr>
        <w:pStyle w:val="Heading1"/>
      </w:pPr>
      <w:bookmarkStart w:id="12" w:name="_Toc424297379"/>
      <w:r>
        <w:t>Provision of Information</w:t>
      </w:r>
      <w:bookmarkEnd w:id="12"/>
    </w:p>
    <w:p w14:paraId="462278DF" w14:textId="77777777" w:rsidR="003E602D" w:rsidRPr="001A2176" w:rsidRDefault="003E602D" w:rsidP="003E602D">
      <w:pPr>
        <w:rPr>
          <w:b/>
          <w:color w:val="0070C0"/>
        </w:rPr>
      </w:pPr>
      <w:r w:rsidRPr="001A2176">
        <w:rPr>
          <w:b/>
          <w:color w:val="0070C0"/>
        </w:rPr>
        <w:t>General commercial information</w:t>
      </w:r>
    </w:p>
    <w:p w14:paraId="3383E3E5" w14:textId="11DE74B8" w:rsidR="003E602D" w:rsidRDefault="003E602D" w:rsidP="003E602D">
      <w:r>
        <w:t>Each Negotiating Party</w:t>
      </w:r>
      <w:r w:rsidRPr="00C149FD">
        <w:t xml:space="preserve"> agree</w:t>
      </w:r>
      <w:r>
        <w:t>s</w:t>
      </w:r>
      <w:r w:rsidRPr="00C149FD">
        <w:t xml:space="preserve"> to provide to the other </w:t>
      </w:r>
      <w:r>
        <w:t xml:space="preserve">Negotiating Parties </w:t>
      </w:r>
      <w:r w:rsidRPr="00C149FD">
        <w:t xml:space="preserve">all such commercial information </w:t>
      </w:r>
      <w:r w:rsidR="004635C4">
        <w:t xml:space="preserve">that </w:t>
      </w:r>
      <w:r w:rsidRPr="00C149FD">
        <w:t xml:space="preserve">may reasonably </w:t>
      </w:r>
      <w:r w:rsidR="004635C4">
        <w:t xml:space="preserve">be </w:t>
      </w:r>
      <w:r w:rsidRPr="00C149FD">
        <w:t>require</w:t>
      </w:r>
      <w:r w:rsidR="004635C4">
        <w:t>d</w:t>
      </w:r>
      <w:r w:rsidRPr="00C149FD">
        <w:t xml:space="preserve"> to enable </w:t>
      </w:r>
      <w:r w:rsidR="004635C4">
        <w:t xml:space="preserve">those </w:t>
      </w:r>
      <w:r>
        <w:t>other Negotiating P</w:t>
      </w:r>
      <w:r w:rsidRPr="00C149FD">
        <w:t>art</w:t>
      </w:r>
      <w:r w:rsidR="004635C4">
        <w:t>ies</w:t>
      </w:r>
      <w:r w:rsidRPr="00C149FD">
        <w:t xml:space="preserve"> to engage in effective negotiation for the provision of the </w:t>
      </w:r>
      <w:r>
        <w:t xml:space="preserve">relevant </w:t>
      </w:r>
      <w:r w:rsidRPr="00C149FD">
        <w:rPr>
          <w:i/>
          <w:iCs/>
        </w:rPr>
        <w:t>negotiated transmission service</w:t>
      </w:r>
      <w:r w:rsidRPr="00C149FD">
        <w:t xml:space="preserve">. </w:t>
      </w:r>
      <w:r>
        <w:t xml:space="preserve"> The commercial information provided by AEMO or AusNet Services will include a description of the nature of the </w:t>
      </w:r>
      <w:r w:rsidRPr="002B5500">
        <w:rPr>
          <w:i/>
        </w:rPr>
        <w:t>negotiated transmission service</w:t>
      </w:r>
      <w:r>
        <w:t xml:space="preserve">, including details of what AEMO or AusNet Services would provide as part of that service and the terms and conditions on which that service will be provided.    </w:t>
      </w:r>
    </w:p>
    <w:p w14:paraId="65CA9CB5" w14:textId="77777777" w:rsidR="003E602D" w:rsidRPr="00FF68C0" w:rsidRDefault="003E602D" w:rsidP="003E602D">
      <w:r>
        <w:t xml:space="preserve">A Negotiating Party </w:t>
      </w:r>
      <w:r w:rsidRPr="00FF68C0">
        <w:t xml:space="preserve">may give notice to </w:t>
      </w:r>
      <w:r>
        <w:t xml:space="preserve">another Negotiating Party </w:t>
      </w:r>
      <w:r w:rsidRPr="00FF68C0">
        <w:t xml:space="preserve">requesting any additional commercial information that is reasonably required by </w:t>
      </w:r>
      <w:r>
        <w:t>the first Negotiating Party</w:t>
      </w:r>
      <w:r w:rsidRPr="00FF68C0">
        <w:t xml:space="preserve"> to enable it to engage in effective negotiations in relation to the provision of a </w:t>
      </w:r>
      <w:r w:rsidRPr="00FF68C0">
        <w:rPr>
          <w:i/>
        </w:rPr>
        <w:t>negotiated transmission service</w:t>
      </w:r>
      <w:r w:rsidRPr="00FF68C0">
        <w:t xml:space="preserve"> or to clarify commercial information already provided.</w:t>
      </w:r>
    </w:p>
    <w:p w14:paraId="28EAC7C3" w14:textId="77777777" w:rsidR="003E602D" w:rsidRPr="00C149FD" w:rsidRDefault="003E602D" w:rsidP="003E602D">
      <w:r>
        <w:t xml:space="preserve">A Negotiating Party who is requested to provide information under this section </w:t>
      </w:r>
      <w:r w:rsidRPr="00FF68C0">
        <w:t xml:space="preserve">must use reasonable endeavours to </w:t>
      </w:r>
      <w:r>
        <w:t xml:space="preserve">do so </w:t>
      </w:r>
      <w:r w:rsidRPr="00FF68C0">
        <w:t>within 10 Bus</w:t>
      </w:r>
      <w:r>
        <w:t>i</w:t>
      </w:r>
      <w:r w:rsidRPr="00FF68C0">
        <w:t>ness Days of the request or as oth</w:t>
      </w:r>
      <w:r>
        <w:t xml:space="preserve">erwise agreed by the parties.  </w:t>
      </w:r>
    </w:p>
    <w:p w14:paraId="51FE4EEB" w14:textId="77777777" w:rsidR="003E602D" w:rsidRPr="001A2176" w:rsidRDefault="003E602D" w:rsidP="003E602D">
      <w:pPr>
        <w:rPr>
          <w:b/>
          <w:color w:val="0070C0"/>
        </w:rPr>
      </w:pPr>
      <w:r w:rsidRPr="001A2176">
        <w:rPr>
          <w:b/>
          <w:color w:val="0070C0"/>
        </w:rPr>
        <w:t>Information about costs and charges</w:t>
      </w:r>
    </w:p>
    <w:p w14:paraId="2426675D" w14:textId="77777777" w:rsidR="003E602D" w:rsidRDefault="003E602D" w:rsidP="003E602D">
      <w:r>
        <w:t xml:space="preserve">AEMO will </w:t>
      </w:r>
      <w:r w:rsidRPr="00560B4B">
        <w:t xml:space="preserve">identify and inform the </w:t>
      </w:r>
      <w:r w:rsidRPr="00560B4B">
        <w:rPr>
          <w:i/>
          <w:iCs/>
        </w:rPr>
        <w:t>Service Applicant</w:t>
      </w:r>
      <w:r w:rsidRPr="00560B4B">
        <w:t xml:space="preserve"> of the reasonable costs, and/or the increase or decrease in costs (as appropriate), of providing </w:t>
      </w:r>
      <w:r>
        <w:t>a</w:t>
      </w:r>
      <w:r w:rsidRPr="00560B4B">
        <w:t xml:space="preserve"> </w:t>
      </w:r>
      <w:r w:rsidRPr="00560B4B">
        <w:rPr>
          <w:i/>
          <w:iCs/>
        </w:rPr>
        <w:t>negotiated transmission service</w:t>
      </w:r>
      <w:r>
        <w:rPr>
          <w:iCs/>
        </w:rPr>
        <w:t xml:space="preserve"> that is a </w:t>
      </w:r>
      <w:r>
        <w:rPr>
          <w:i/>
          <w:iCs/>
        </w:rPr>
        <w:t>shared transmission service</w:t>
      </w:r>
      <w:r>
        <w:rPr>
          <w:iCs/>
        </w:rPr>
        <w:t>.</w:t>
      </w:r>
    </w:p>
    <w:p w14:paraId="70581407" w14:textId="77777777" w:rsidR="003E602D" w:rsidRPr="00C149FD" w:rsidRDefault="003E602D" w:rsidP="003E602D">
      <w:r>
        <w:t xml:space="preserve">AusNet Services will </w:t>
      </w:r>
      <w:r w:rsidRPr="00C149FD">
        <w:t xml:space="preserve">identify and inform the </w:t>
      </w:r>
      <w:r w:rsidRPr="00C149FD">
        <w:rPr>
          <w:i/>
          <w:iCs/>
        </w:rPr>
        <w:t>Service Applicant</w:t>
      </w:r>
      <w:r w:rsidRPr="00C149FD">
        <w:t xml:space="preserve"> of the reasonable costs, and/or the increase or decrease in costs (as appropriate), of providing </w:t>
      </w:r>
      <w:r>
        <w:t>a</w:t>
      </w:r>
      <w:r w:rsidRPr="00C149FD">
        <w:t xml:space="preserve"> </w:t>
      </w:r>
      <w:r w:rsidRPr="00C149FD">
        <w:rPr>
          <w:i/>
          <w:iCs/>
        </w:rPr>
        <w:t>negotiated transmission service</w:t>
      </w:r>
      <w:r>
        <w:rPr>
          <w:iCs/>
        </w:rPr>
        <w:t xml:space="preserve"> that is a </w:t>
      </w:r>
      <w:r>
        <w:rPr>
          <w:i/>
          <w:iCs/>
        </w:rPr>
        <w:t>connection service</w:t>
      </w:r>
      <w:r>
        <w:t>.</w:t>
      </w:r>
    </w:p>
    <w:p w14:paraId="7E05480D" w14:textId="77777777" w:rsidR="003E602D" w:rsidRDefault="003E602D" w:rsidP="003E602D">
      <w:r>
        <w:t xml:space="preserve">AEMO or AusNet Services (as applicable) will </w:t>
      </w:r>
      <w:r w:rsidRPr="00C149FD">
        <w:t xml:space="preserve">demonstrate to the </w:t>
      </w:r>
      <w:r w:rsidRPr="00C149FD">
        <w:rPr>
          <w:i/>
          <w:iCs/>
        </w:rPr>
        <w:t>Service Applicant</w:t>
      </w:r>
      <w:r w:rsidRPr="00C149FD">
        <w:t>, upon request, that the charges for providing the</w:t>
      </w:r>
      <w:r>
        <w:t xml:space="preserve"> relevant</w:t>
      </w:r>
      <w:r w:rsidRPr="00C149FD">
        <w:t xml:space="preserve"> </w:t>
      </w:r>
      <w:r w:rsidRPr="00C149FD">
        <w:rPr>
          <w:i/>
        </w:rPr>
        <w:t>negotiated transmission service</w:t>
      </w:r>
      <w:r w:rsidRPr="00C149FD">
        <w:t xml:space="preserve"> reflect those costs, and/or </w:t>
      </w:r>
      <w:r w:rsidR="004635C4">
        <w:t xml:space="preserve">the </w:t>
      </w:r>
      <w:r w:rsidRPr="00C149FD">
        <w:t>cost increment or decrement (as appropriate).</w:t>
      </w:r>
    </w:p>
    <w:p w14:paraId="2BAA1023" w14:textId="77777777" w:rsidR="003E602D" w:rsidRDefault="003E602D" w:rsidP="003E602D">
      <w:pPr>
        <w:pStyle w:val="Heading1"/>
      </w:pPr>
      <w:bookmarkStart w:id="13" w:name="_Toc424297380"/>
      <w:r>
        <w:t>Confidential Information</w:t>
      </w:r>
      <w:bookmarkEnd w:id="13"/>
    </w:p>
    <w:p w14:paraId="3639DA78" w14:textId="77777777" w:rsidR="003E602D" w:rsidRPr="00C149FD" w:rsidRDefault="003E602D" w:rsidP="003E602D">
      <w:r w:rsidRPr="00C149FD">
        <w:t xml:space="preserve">Commercial information required to be provided by </w:t>
      </w:r>
      <w:r>
        <w:t xml:space="preserve">a Negotiating Party </w:t>
      </w:r>
      <w:r w:rsidRPr="00C149FD">
        <w:t>pursuant to this</w:t>
      </w:r>
      <w:r w:rsidRPr="00C149FD">
        <w:rPr>
          <w:i/>
        </w:rPr>
        <w:t xml:space="preserve"> negotiating framework</w:t>
      </w:r>
      <w:r w:rsidRPr="00C149FD">
        <w:t xml:space="preserve"> does not include:</w:t>
      </w:r>
    </w:p>
    <w:p w14:paraId="647EF992" w14:textId="77777777" w:rsidR="003E602D" w:rsidRPr="00C149FD" w:rsidRDefault="0049078C" w:rsidP="0049078C">
      <w:pPr>
        <w:pStyle w:val="Bullet"/>
      </w:pPr>
      <w:r>
        <w:t>C</w:t>
      </w:r>
      <w:r w:rsidR="003E602D" w:rsidRPr="00C149FD">
        <w:t xml:space="preserve">onfidential information provided to </w:t>
      </w:r>
      <w:r w:rsidR="003E602D">
        <w:t>that Negotiating Party</w:t>
      </w:r>
      <w:r w:rsidR="003E602D" w:rsidRPr="00C149FD">
        <w:rPr>
          <w:i/>
        </w:rPr>
        <w:t xml:space="preserve"> </w:t>
      </w:r>
      <w:r w:rsidR="003E602D" w:rsidRPr="00C149FD">
        <w:t>by another person; or</w:t>
      </w:r>
    </w:p>
    <w:p w14:paraId="763936EB" w14:textId="77777777" w:rsidR="003E602D" w:rsidRPr="00C149FD" w:rsidRDefault="0049078C" w:rsidP="0049078C">
      <w:pPr>
        <w:pStyle w:val="Bullet"/>
      </w:pPr>
      <w:r>
        <w:lastRenderedPageBreak/>
        <w:t>I</w:t>
      </w:r>
      <w:r w:rsidR="003E602D" w:rsidRPr="00C149FD">
        <w:t xml:space="preserve">nformation that </w:t>
      </w:r>
      <w:r w:rsidR="003E602D">
        <w:t>the Negotiating Party</w:t>
      </w:r>
      <w:r w:rsidR="003E602D" w:rsidRPr="00C149FD">
        <w:t xml:space="preserve"> is prohibited by law from disclosing</w:t>
      </w:r>
      <w:r w:rsidR="003E602D">
        <w:t>.</w:t>
      </w:r>
      <w:r w:rsidR="003E602D" w:rsidRPr="00C149FD">
        <w:t xml:space="preserve"> </w:t>
      </w:r>
    </w:p>
    <w:p w14:paraId="0BFCD042" w14:textId="77777777" w:rsidR="003E602D" w:rsidRPr="00C149FD" w:rsidRDefault="003E602D" w:rsidP="003E602D">
      <w:r w:rsidRPr="00C149FD">
        <w:t xml:space="preserve">Commercial information may be provided by </w:t>
      </w:r>
      <w:r>
        <w:t xml:space="preserve">a Negotiating Party </w:t>
      </w:r>
      <w:r w:rsidRPr="00C149FD">
        <w:t xml:space="preserve">subject to a condition that the other party must not provide any part of that commercial information to any other person without the consent of the party disclosing the commercial information.  </w:t>
      </w:r>
      <w:r>
        <w:t>A</w:t>
      </w:r>
      <w:r w:rsidRPr="00C149FD">
        <w:t xml:space="preserve"> </w:t>
      </w:r>
      <w:r>
        <w:t>Negotiating P</w:t>
      </w:r>
      <w:r w:rsidRPr="00C149FD">
        <w:t xml:space="preserve">arty may require </w:t>
      </w:r>
      <w:r>
        <w:t>an</w:t>
      </w:r>
      <w:r w:rsidRPr="00C149FD">
        <w:t xml:space="preserve">other </w:t>
      </w:r>
      <w:r>
        <w:t xml:space="preserve">Negotiating Party </w:t>
      </w:r>
      <w:r w:rsidRPr="00C149FD">
        <w:t>to enter into a confidentiality agreement on terms reasonably acceptable to both parties</w:t>
      </w:r>
      <w:r>
        <w:t>.</w:t>
      </w:r>
      <w:r w:rsidRPr="00C149FD">
        <w:t xml:space="preserve"> </w:t>
      </w:r>
    </w:p>
    <w:p w14:paraId="7CCE2341" w14:textId="77777777" w:rsidR="003E602D" w:rsidRDefault="003E602D" w:rsidP="003E602D">
      <w:pPr>
        <w:rPr>
          <w:iCs/>
        </w:rPr>
      </w:pPr>
      <w:r w:rsidRPr="00C149FD">
        <w:t xml:space="preserve">In processing a connection enquiry and </w:t>
      </w:r>
      <w:r w:rsidRPr="00C149FD">
        <w:rPr>
          <w:i/>
          <w:iCs/>
        </w:rPr>
        <w:t>application to connect</w:t>
      </w:r>
      <w:r>
        <w:rPr>
          <w:iCs/>
        </w:rPr>
        <w:t>:</w:t>
      </w:r>
    </w:p>
    <w:p w14:paraId="0B2B660F" w14:textId="77777777" w:rsidR="003E602D" w:rsidRDefault="003E602D" w:rsidP="0049078C">
      <w:pPr>
        <w:pStyle w:val="Bullet"/>
      </w:pPr>
      <w:r>
        <w:t xml:space="preserve">AEMO may be required to consult with affected </w:t>
      </w:r>
      <w:r>
        <w:rPr>
          <w:i/>
        </w:rPr>
        <w:t xml:space="preserve">Network Service Providers </w:t>
      </w:r>
      <w:r>
        <w:t xml:space="preserve">and </w:t>
      </w:r>
      <w:r>
        <w:rPr>
          <w:i/>
        </w:rPr>
        <w:t>Transmission Network Users</w:t>
      </w:r>
      <w:r>
        <w:t>; and</w:t>
      </w:r>
    </w:p>
    <w:p w14:paraId="1AF7013A" w14:textId="77777777" w:rsidR="003E602D" w:rsidRDefault="003E602D" w:rsidP="0049078C">
      <w:pPr>
        <w:pStyle w:val="Bullet"/>
      </w:pPr>
      <w:r>
        <w:t>AusNet Services</w:t>
      </w:r>
      <w:r w:rsidRPr="00C149FD">
        <w:t xml:space="preserve"> </w:t>
      </w:r>
      <w:r>
        <w:t xml:space="preserve">may be required to </w:t>
      </w:r>
      <w:r w:rsidRPr="00C149FD">
        <w:t>consult with other</w:t>
      </w:r>
      <w:r>
        <w:t xml:space="preserve"> affected</w:t>
      </w:r>
      <w:r w:rsidRPr="00C149FD">
        <w:t xml:space="preserve"> </w:t>
      </w:r>
      <w:r w:rsidRPr="00C149FD">
        <w:rPr>
          <w:i/>
          <w:iCs/>
        </w:rPr>
        <w:t>Network Service Providers</w:t>
      </w:r>
      <w:r>
        <w:rPr>
          <w:iCs/>
        </w:rPr>
        <w:t xml:space="preserve">, </w:t>
      </w:r>
      <w:r>
        <w:rPr>
          <w:i/>
          <w:iCs/>
        </w:rPr>
        <w:t>Transmission Network Users</w:t>
      </w:r>
      <w:r w:rsidRPr="00C149FD">
        <w:t xml:space="preserve"> and </w:t>
      </w:r>
      <w:r w:rsidRPr="00AF3D45">
        <w:rPr>
          <w:iCs/>
        </w:rPr>
        <w:t>AEMO</w:t>
      </w:r>
      <w:r>
        <w:rPr>
          <w:iCs/>
        </w:rPr>
        <w:t>.</w:t>
      </w:r>
      <w:r w:rsidRPr="00C149FD">
        <w:t xml:space="preserve"> </w:t>
      </w:r>
    </w:p>
    <w:p w14:paraId="10F6D541" w14:textId="77777777" w:rsidR="003E602D" w:rsidRPr="00C149FD" w:rsidRDefault="003E602D" w:rsidP="003E602D">
      <w:r w:rsidRPr="00C149FD">
        <w:t>Having regard to th</w:t>
      </w:r>
      <w:r>
        <w:t>ese obligations</w:t>
      </w:r>
      <w:r w:rsidRPr="00C149FD">
        <w:t xml:space="preserve"> the </w:t>
      </w:r>
      <w:r w:rsidRPr="00C149FD">
        <w:rPr>
          <w:i/>
          <w:iCs/>
        </w:rPr>
        <w:t>Service Applicant</w:t>
      </w:r>
      <w:r w:rsidRPr="00C149FD">
        <w:t xml:space="preserve"> must, </w:t>
      </w:r>
      <w:r>
        <w:t xml:space="preserve">when providing </w:t>
      </w:r>
      <w:r w:rsidRPr="00C149FD">
        <w:t xml:space="preserve">information to </w:t>
      </w:r>
      <w:r>
        <w:t>AEMO or AusNet Services</w:t>
      </w:r>
      <w:r w:rsidRPr="00C149FD">
        <w:t xml:space="preserve">, </w:t>
      </w:r>
      <w:r>
        <w:t xml:space="preserve">specifically identify </w:t>
      </w:r>
      <w:r w:rsidRPr="00C149FD">
        <w:t xml:space="preserve">in writing any information </w:t>
      </w:r>
      <w:r>
        <w:t xml:space="preserve">that is </w:t>
      </w:r>
      <w:r w:rsidRPr="00C149FD">
        <w:t xml:space="preserve">not to be disclosed </w:t>
      </w:r>
      <w:r>
        <w:t>for the purposes of those consultations</w:t>
      </w:r>
      <w:r w:rsidRPr="00C149FD">
        <w:t>.</w:t>
      </w:r>
    </w:p>
    <w:p w14:paraId="685FE784" w14:textId="77777777" w:rsidR="003E602D" w:rsidRDefault="003E602D" w:rsidP="003E602D">
      <w:r w:rsidRPr="00C149FD">
        <w:t>Unless advised to the contrary,</w:t>
      </w:r>
      <w:r w:rsidR="004635C4">
        <w:t xml:space="preserve"> the</w:t>
      </w:r>
      <w:r w:rsidRPr="00C149FD">
        <w:t xml:space="preserve"> </w:t>
      </w:r>
      <w:r w:rsidRPr="00C149FD">
        <w:rPr>
          <w:i/>
          <w:iCs/>
        </w:rPr>
        <w:t xml:space="preserve">Service Applicant </w:t>
      </w:r>
      <w:r>
        <w:rPr>
          <w:iCs/>
        </w:rPr>
        <w:t xml:space="preserve">is taken to </w:t>
      </w:r>
      <w:r w:rsidRPr="00C149FD">
        <w:t xml:space="preserve">consent to </w:t>
      </w:r>
      <w:r>
        <w:t xml:space="preserve">the </w:t>
      </w:r>
      <w:r w:rsidRPr="00C149FD">
        <w:t xml:space="preserve">disclosure </w:t>
      </w:r>
      <w:r>
        <w:t xml:space="preserve">of its commercial information for the purposes of consultation </w:t>
      </w:r>
      <w:r w:rsidRPr="00C149FD">
        <w:t xml:space="preserve">as outlined in </w:t>
      </w:r>
      <w:r>
        <w:t>this section</w:t>
      </w:r>
      <w:r w:rsidRPr="00C149FD">
        <w:t xml:space="preserve">. </w:t>
      </w:r>
    </w:p>
    <w:p w14:paraId="4241A90A" w14:textId="77777777" w:rsidR="003E602D" w:rsidRDefault="003E602D" w:rsidP="003E602D">
      <w:pPr>
        <w:pStyle w:val="Heading1"/>
      </w:pPr>
      <w:bookmarkStart w:id="14" w:name="_Toc424297381"/>
      <w:r>
        <w:t>Dispute Resolution</w:t>
      </w:r>
      <w:bookmarkEnd w:id="14"/>
    </w:p>
    <w:p w14:paraId="6BFEC8A9" w14:textId="77777777" w:rsidR="003E602D" w:rsidRDefault="003E602D" w:rsidP="003E602D">
      <w:r>
        <w:t xml:space="preserve">All disputes as to the </w:t>
      </w:r>
      <w:r w:rsidRPr="00A46D37">
        <w:rPr>
          <w:i/>
        </w:rPr>
        <w:t>terms and conditions of access</w:t>
      </w:r>
      <w:r>
        <w:t xml:space="preserve"> for the provision of a </w:t>
      </w:r>
      <w:r w:rsidRPr="00A46D37">
        <w:rPr>
          <w:i/>
        </w:rPr>
        <w:t xml:space="preserve">negotiated transmission service </w:t>
      </w:r>
      <w:r>
        <w:t xml:space="preserve">are to be dealt with in accordance with Part K of Chapter 6A of the </w:t>
      </w:r>
      <w:r w:rsidRPr="00A46D37">
        <w:rPr>
          <w:i/>
        </w:rPr>
        <w:t>Rules</w:t>
      </w:r>
      <w:r>
        <w:t xml:space="preserve">. </w:t>
      </w:r>
    </w:p>
    <w:p w14:paraId="2864E80B" w14:textId="77777777" w:rsidR="003E602D" w:rsidRDefault="003E602D" w:rsidP="003E602D">
      <w:pPr>
        <w:pStyle w:val="Heading1"/>
      </w:pPr>
      <w:bookmarkStart w:id="15" w:name="_Toc424297382"/>
      <w:r>
        <w:t>Other Network Users</w:t>
      </w:r>
      <w:bookmarkEnd w:id="15"/>
    </w:p>
    <w:p w14:paraId="4226B028" w14:textId="77777777" w:rsidR="003E602D" w:rsidRPr="0020778A" w:rsidRDefault="003E602D" w:rsidP="003E602D">
      <w:pPr>
        <w:pStyle w:val="BodyText"/>
        <w:tabs>
          <w:tab w:val="left" w:pos="0"/>
          <w:tab w:val="left" w:pos="1134"/>
        </w:tabs>
        <w:spacing w:after="80"/>
        <w:rPr>
          <w:rFonts w:ascii="Arial" w:hAnsi="Arial"/>
          <w:sz w:val="22"/>
        </w:rPr>
      </w:pPr>
      <w:r w:rsidRPr="0020778A">
        <w:rPr>
          <w:rFonts w:ascii="Arial" w:hAnsi="Arial"/>
          <w:sz w:val="22"/>
        </w:rPr>
        <w:t xml:space="preserve">In accordance with clause 6A.9.5(c)(8) of the </w:t>
      </w:r>
      <w:r w:rsidRPr="0020778A">
        <w:rPr>
          <w:rFonts w:ascii="Arial" w:hAnsi="Arial"/>
          <w:i/>
          <w:sz w:val="22"/>
        </w:rPr>
        <w:t>Rules</w:t>
      </w:r>
      <w:r w:rsidRPr="0020778A">
        <w:rPr>
          <w:rFonts w:ascii="Arial" w:hAnsi="Arial"/>
          <w:sz w:val="22"/>
        </w:rPr>
        <w:t xml:space="preserve">, AEMO and </w:t>
      </w:r>
      <w:r>
        <w:rPr>
          <w:rFonts w:ascii="Arial" w:hAnsi="Arial"/>
          <w:sz w:val="22"/>
        </w:rPr>
        <w:t>AusNet Services</w:t>
      </w:r>
      <w:r w:rsidRPr="0020778A">
        <w:rPr>
          <w:rFonts w:ascii="Arial" w:hAnsi="Arial"/>
          <w:sz w:val="22"/>
        </w:rPr>
        <w:t xml:space="preserve"> will determine the potential impact on other </w:t>
      </w:r>
      <w:r w:rsidRPr="0020778A">
        <w:rPr>
          <w:rFonts w:ascii="Arial" w:hAnsi="Arial"/>
          <w:i/>
          <w:iCs/>
          <w:sz w:val="22"/>
        </w:rPr>
        <w:t>Transmission Network Users</w:t>
      </w:r>
      <w:r w:rsidRPr="0020778A">
        <w:rPr>
          <w:rFonts w:ascii="Arial" w:hAnsi="Arial"/>
          <w:sz w:val="22"/>
        </w:rPr>
        <w:t xml:space="preserve"> of the provision of the relevant </w:t>
      </w:r>
      <w:r w:rsidRPr="0020778A">
        <w:rPr>
          <w:rFonts w:ascii="Arial" w:hAnsi="Arial"/>
          <w:i/>
          <w:iCs/>
          <w:sz w:val="22"/>
        </w:rPr>
        <w:t>negotiated transmission service</w:t>
      </w:r>
      <w:r w:rsidRPr="0020778A">
        <w:rPr>
          <w:rFonts w:ascii="Arial" w:hAnsi="Arial"/>
          <w:sz w:val="22"/>
        </w:rPr>
        <w:t xml:space="preserve">.  </w:t>
      </w:r>
    </w:p>
    <w:p w14:paraId="6140D747" w14:textId="77777777" w:rsidR="003E602D" w:rsidRPr="0020778A" w:rsidRDefault="003E602D" w:rsidP="003E602D">
      <w:pPr>
        <w:pStyle w:val="BodyText"/>
        <w:tabs>
          <w:tab w:val="left" w:pos="0"/>
          <w:tab w:val="left" w:pos="1134"/>
        </w:tabs>
        <w:spacing w:after="80"/>
        <w:rPr>
          <w:sz w:val="22"/>
        </w:rPr>
      </w:pPr>
      <w:r w:rsidRPr="0020778A">
        <w:rPr>
          <w:rFonts w:ascii="Arial" w:hAnsi="Arial"/>
          <w:sz w:val="22"/>
        </w:rPr>
        <w:t xml:space="preserve">AEMO and </w:t>
      </w:r>
      <w:r>
        <w:rPr>
          <w:rFonts w:ascii="Arial" w:hAnsi="Arial"/>
          <w:sz w:val="22"/>
        </w:rPr>
        <w:t>AusNet Services</w:t>
      </w:r>
      <w:r w:rsidRPr="0020778A">
        <w:rPr>
          <w:rFonts w:ascii="Arial" w:hAnsi="Arial"/>
          <w:sz w:val="22"/>
        </w:rPr>
        <w:t xml:space="preserve"> will notify and consult with any affected </w:t>
      </w:r>
      <w:r w:rsidRPr="0020778A">
        <w:rPr>
          <w:rFonts w:ascii="Arial" w:hAnsi="Arial"/>
          <w:i/>
          <w:iCs/>
          <w:sz w:val="22"/>
        </w:rPr>
        <w:t xml:space="preserve">Transmission Network Users </w:t>
      </w:r>
      <w:r w:rsidRPr="0020778A">
        <w:rPr>
          <w:rFonts w:ascii="Arial" w:hAnsi="Arial"/>
          <w:sz w:val="22"/>
        </w:rPr>
        <w:t xml:space="preserve">and ensure that the provision of the relevant </w:t>
      </w:r>
      <w:r w:rsidRPr="0020778A">
        <w:rPr>
          <w:rFonts w:ascii="Arial" w:hAnsi="Arial"/>
          <w:i/>
          <w:iCs/>
          <w:sz w:val="22"/>
        </w:rPr>
        <w:t>negotiated transmission service</w:t>
      </w:r>
      <w:r w:rsidRPr="0020778A">
        <w:rPr>
          <w:rFonts w:ascii="Arial" w:hAnsi="Arial"/>
          <w:sz w:val="22"/>
        </w:rPr>
        <w:t xml:space="preserve"> does not result in non-compliance with any service standards or other obligations in relation to other </w:t>
      </w:r>
      <w:r w:rsidRPr="0020778A">
        <w:rPr>
          <w:rFonts w:ascii="Arial" w:hAnsi="Arial"/>
          <w:i/>
          <w:iCs/>
          <w:sz w:val="22"/>
        </w:rPr>
        <w:t>Transmission Network Users</w:t>
      </w:r>
      <w:r w:rsidRPr="0020778A">
        <w:rPr>
          <w:rFonts w:ascii="Arial" w:hAnsi="Arial"/>
          <w:sz w:val="22"/>
        </w:rPr>
        <w:t xml:space="preserve"> under the </w:t>
      </w:r>
      <w:r w:rsidRPr="0020778A">
        <w:rPr>
          <w:rFonts w:ascii="Arial" w:hAnsi="Arial"/>
          <w:i/>
          <w:sz w:val="22"/>
        </w:rPr>
        <w:t>Rules</w:t>
      </w:r>
      <w:r w:rsidRPr="0020778A">
        <w:rPr>
          <w:rFonts w:ascii="Arial" w:hAnsi="Arial"/>
          <w:sz w:val="22"/>
        </w:rPr>
        <w:t xml:space="preserve"> or a </w:t>
      </w:r>
      <w:r w:rsidRPr="0020778A">
        <w:rPr>
          <w:rFonts w:ascii="Arial" w:hAnsi="Arial"/>
          <w:i/>
          <w:sz w:val="22"/>
        </w:rPr>
        <w:t>connection agreement</w:t>
      </w:r>
      <w:r w:rsidRPr="0020778A">
        <w:rPr>
          <w:rFonts w:ascii="Arial" w:hAnsi="Arial"/>
          <w:sz w:val="22"/>
        </w:rPr>
        <w:t>.</w:t>
      </w:r>
    </w:p>
    <w:p w14:paraId="0F8FBC73" w14:textId="77777777" w:rsidR="003E602D" w:rsidRDefault="003E602D" w:rsidP="003E602D">
      <w:pPr>
        <w:pStyle w:val="Heading1"/>
      </w:pPr>
      <w:bookmarkStart w:id="16" w:name="_Toc424297383"/>
      <w:r>
        <w:t>Suspension of Time Periods</w:t>
      </w:r>
      <w:bookmarkEnd w:id="16"/>
    </w:p>
    <w:p w14:paraId="183D52B5" w14:textId="1E30636E" w:rsidR="003E602D" w:rsidRPr="0020778A" w:rsidRDefault="003E602D" w:rsidP="003E602D">
      <w:pPr>
        <w:pStyle w:val="BodyText"/>
        <w:tabs>
          <w:tab w:val="left" w:pos="0"/>
          <w:tab w:val="left" w:pos="1134"/>
        </w:tabs>
        <w:spacing w:after="80"/>
        <w:rPr>
          <w:rFonts w:ascii="Arial" w:hAnsi="Arial"/>
          <w:sz w:val="22"/>
        </w:rPr>
      </w:pPr>
      <w:r w:rsidRPr="0020778A">
        <w:rPr>
          <w:rFonts w:ascii="Arial" w:hAnsi="Arial"/>
          <w:sz w:val="22"/>
        </w:rPr>
        <w:t xml:space="preserve">Any applicable timeframe for negotiation </w:t>
      </w:r>
      <w:r w:rsidR="004635C4">
        <w:rPr>
          <w:rFonts w:ascii="Arial" w:hAnsi="Arial"/>
          <w:sz w:val="22"/>
        </w:rPr>
        <w:t>or</w:t>
      </w:r>
      <w:r w:rsidR="004635C4" w:rsidRPr="0020778A">
        <w:rPr>
          <w:rFonts w:ascii="Arial" w:hAnsi="Arial"/>
          <w:sz w:val="22"/>
        </w:rPr>
        <w:t xml:space="preserve"> </w:t>
      </w:r>
      <w:r w:rsidRPr="0020778A">
        <w:rPr>
          <w:rFonts w:ascii="Arial" w:hAnsi="Arial"/>
          <w:sz w:val="22"/>
        </w:rPr>
        <w:t xml:space="preserve">provision of a </w:t>
      </w:r>
      <w:r w:rsidRPr="0020778A">
        <w:rPr>
          <w:rFonts w:ascii="Arial" w:hAnsi="Arial"/>
          <w:i/>
          <w:sz w:val="22"/>
        </w:rPr>
        <w:t>negotiated transmission service</w:t>
      </w:r>
      <w:r w:rsidRPr="0020778A">
        <w:rPr>
          <w:rFonts w:ascii="Arial" w:hAnsi="Arial"/>
          <w:sz w:val="22"/>
        </w:rPr>
        <w:t xml:space="preserve"> as referred to in this </w:t>
      </w:r>
      <w:r w:rsidRPr="0020778A">
        <w:rPr>
          <w:rFonts w:ascii="Arial" w:hAnsi="Arial"/>
          <w:i/>
          <w:sz w:val="22"/>
        </w:rPr>
        <w:t>negotiating framework</w:t>
      </w:r>
      <w:r w:rsidRPr="0020778A">
        <w:rPr>
          <w:rFonts w:ascii="Arial" w:hAnsi="Arial"/>
          <w:sz w:val="22"/>
        </w:rPr>
        <w:t xml:space="preserve"> may be suspended if:</w:t>
      </w:r>
    </w:p>
    <w:p w14:paraId="039AB5CF" w14:textId="14368352" w:rsidR="003E602D" w:rsidRPr="00C149FD" w:rsidRDefault="0049078C" w:rsidP="0049078C">
      <w:pPr>
        <w:pStyle w:val="Bullet"/>
      </w:pPr>
      <w:r>
        <w:t>W</w:t>
      </w:r>
      <w:r w:rsidR="003E602D" w:rsidRPr="00C149FD">
        <w:t xml:space="preserve">ithin 15 Business Days of </w:t>
      </w:r>
      <w:r w:rsidR="003E602D">
        <w:t>AusNet Services</w:t>
      </w:r>
      <w:r w:rsidR="003E602D" w:rsidRPr="00C149FD">
        <w:t xml:space="preserve"> </w:t>
      </w:r>
      <w:r w:rsidR="003E602D">
        <w:t xml:space="preserve">or AEMO (as applicable) </w:t>
      </w:r>
      <w:r w:rsidR="003E602D" w:rsidRPr="00C149FD">
        <w:t>providing the commercial information to the</w:t>
      </w:r>
      <w:r w:rsidR="003E602D" w:rsidRPr="00C149FD">
        <w:rPr>
          <w:i/>
        </w:rPr>
        <w:t xml:space="preserve"> Service Applicant</w:t>
      </w:r>
      <w:r w:rsidR="003E602D" w:rsidRPr="00C149FD">
        <w:t xml:space="preserve"> pursuant to section </w:t>
      </w:r>
      <w:r w:rsidR="003E602D">
        <w:t>8</w:t>
      </w:r>
      <w:r w:rsidR="003E602D" w:rsidRPr="00C149FD">
        <w:t xml:space="preserve">, the </w:t>
      </w:r>
      <w:r w:rsidR="003E602D" w:rsidRPr="00C149FD">
        <w:rPr>
          <w:i/>
        </w:rPr>
        <w:t>Service Applicant</w:t>
      </w:r>
      <w:r w:rsidR="003E602D" w:rsidRPr="00C149FD">
        <w:t xml:space="preserve"> does not agree </w:t>
      </w:r>
      <w:r w:rsidR="003E602D">
        <w:t xml:space="preserve">to </w:t>
      </w:r>
      <w:r w:rsidR="003E602D" w:rsidRPr="00C149FD">
        <w:t>a date for the undertaking and conclusion of commercial negotiations</w:t>
      </w:r>
      <w:r w:rsidR="003E602D">
        <w:t>, until that date is agreed</w:t>
      </w:r>
      <w:r w:rsidR="003E602D" w:rsidRPr="00C149FD">
        <w:t xml:space="preserve">; </w:t>
      </w:r>
    </w:p>
    <w:p w14:paraId="613D87AF" w14:textId="77777777" w:rsidR="003E602D" w:rsidRPr="008E78AA" w:rsidRDefault="0049078C" w:rsidP="0049078C">
      <w:pPr>
        <w:pStyle w:val="Bullet"/>
      </w:pPr>
      <w:r>
        <w:t>A</w:t>
      </w:r>
      <w:r w:rsidR="003E602D" w:rsidRPr="00C149FD">
        <w:t xml:space="preserve"> dispute in relation to the </w:t>
      </w:r>
      <w:r w:rsidR="003E602D" w:rsidRPr="00C149FD">
        <w:rPr>
          <w:i/>
        </w:rPr>
        <w:t xml:space="preserve">negotiated transmission service </w:t>
      </w:r>
      <w:r w:rsidR="003E602D" w:rsidRPr="00C149FD">
        <w:t xml:space="preserve">has been notified to the </w:t>
      </w:r>
      <w:r w:rsidR="003E602D" w:rsidRPr="00C149FD">
        <w:rPr>
          <w:i/>
        </w:rPr>
        <w:t>AER</w:t>
      </w:r>
      <w:r w:rsidR="003E602D" w:rsidRPr="00C149FD">
        <w:t xml:space="preserve"> under</w:t>
      </w:r>
      <w:r w:rsidR="003E602D">
        <w:t xml:space="preserve"> clause</w:t>
      </w:r>
      <w:r w:rsidR="003E602D" w:rsidRPr="00C149FD">
        <w:t xml:space="preserve"> 6A.30.1</w:t>
      </w:r>
      <w:r w:rsidR="003E602D">
        <w:t xml:space="preserve"> of the </w:t>
      </w:r>
      <w:r w:rsidR="003E602D" w:rsidRPr="00F57DE3">
        <w:rPr>
          <w:i/>
        </w:rPr>
        <w:t>Rules</w:t>
      </w:r>
      <w:r w:rsidR="003E602D" w:rsidRPr="00C149FD">
        <w:t xml:space="preserve">, from the date of notification of that dispute to the </w:t>
      </w:r>
      <w:r w:rsidR="003E602D" w:rsidRPr="00C149FD">
        <w:rPr>
          <w:i/>
        </w:rPr>
        <w:t>AER</w:t>
      </w:r>
      <w:r w:rsidR="003E602D" w:rsidRPr="00C149FD">
        <w:t xml:space="preserve"> until</w:t>
      </w:r>
      <w:r w:rsidR="003E602D">
        <w:t xml:space="preserve"> the dispute is withdrawn, terminated or determined;</w:t>
      </w:r>
      <w:r w:rsidR="003E602D" w:rsidRPr="00C149FD">
        <w:t xml:space="preserve"> </w:t>
      </w:r>
      <w:r w:rsidR="003E602D" w:rsidRPr="008E78AA">
        <w:t xml:space="preserve"> </w:t>
      </w:r>
    </w:p>
    <w:p w14:paraId="108B3B57" w14:textId="0A588C8D" w:rsidR="003E602D" w:rsidRPr="00C149FD" w:rsidRDefault="0049078C" w:rsidP="0049078C">
      <w:pPr>
        <w:pStyle w:val="Bullet"/>
      </w:pPr>
      <w:r>
        <w:t>W</w:t>
      </w:r>
      <w:r w:rsidR="003E602D" w:rsidRPr="00C149FD">
        <w:t xml:space="preserve">ithin 10 Business Days of </w:t>
      </w:r>
      <w:r w:rsidR="003E602D">
        <w:t>AusNet Services</w:t>
      </w:r>
      <w:r w:rsidR="003E602D" w:rsidRPr="00C149FD">
        <w:t xml:space="preserve"> requesting additional commercial information from the </w:t>
      </w:r>
      <w:r w:rsidR="003E602D" w:rsidRPr="00C149FD">
        <w:rPr>
          <w:i/>
        </w:rPr>
        <w:t>Service Applicant</w:t>
      </w:r>
      <w:r w:rsidR="003E602D" w:rsidRPr="00C149FD">
        <w:t xml:space="preserve"> pursuant to section </w:t>
      </w:r>
      <w:r w:rsidR="003E602D">
        <w:t>8</w:t>
      </w:r>
      <w:r w:rsidR="003E602D" w:rsidRPr="00C149FD">
        <w:t xml:space="preserve">, the </w:t>
      </w:r>
      <w:r w:rsidR="003E602D" w:rsidRPr="00C149FD">
        <w:rPr>
          <w:i/>
        </w:rPr>
        <w:t>Service Applicant</w:t>
      </w:r>
      <w:r w:rsidR="003E602D" w:rsidRPr="00C149FD">
        <w:t xml:space="preserve"> has not supplied that commercial information</w:t>
      </w:r>
      <w:r w:rsidR="003E602D">
        <w:t>, until the date the information is provided</w:t>
      </w:r>
      <w:r w:rsidR="003E602D" w:rsidRPr="00C149FD">
        <w:t xml:space="preserve">; </w:t>
      </w:r>
    </w:p>
    <w:p w14:paraId="48702842" w14:textId="0214B3B3" w:rsidR="003E602D" w:rsidRPr="00C149FD" w:rsidRDefault="0049078C" w:rsidP="0049078C">
      <w:pPr>
        <w:pStyle w:val="Bullet"/>
      </w:pPr>
      <w:r>
        <w:lastRenderedPageBreak/>
        <w:t>W</w:t>
      </w:r>
      <w:r w:rsidR="003E602D" w:rsidRPr="00C149FD">
        <w:t xml:space="preserve">ithout limiting the above, </w:t>
      </w:r>
      <w:r w:rsidR="003E602D">
        <w:t xml:space="preserve">the </w:t>
      </w:r>
      <w:r w:rsidR="003E602D">
        <w:rPr>
          <w:i/>
        </w:rPr>
        <w:t>Service Applicant</w:t>
      </w:r>
      <w:r w:rsidR="003E602D" w:rsidRPr="00C149FD">
        <w:t xml:space="preserve"> does not promptly conform with any of its obligations as required by this </w:t>
      </w:r>
      <w:r w:rsidR="003E602D" w:rsidRPr="00C149FD">
        <w:rPr>
          <w:i/>
        </w:rPr>
        <w:t>negotiating framework</w:t>
      </w:r>
      <w:r w:rsidR="003E602D" w:rsidRPr="00C149FD">
        <w:t xml:space="preserve"> or as otherwise agreed by the </w:t>
      </w:r>
      <w:r w:rsidR="008F46F8">
        <w:t>Negotiating P</w:t>
      </w:r>
      <w:r w:rsidR="003E602D" w:rsidRPr="00C149FD">
        <w:t>arties</w:t>
      </w:r>
      <w:r w:rsidR="003E602D">
        <w:t>, until the date the obligations are complied with</w:t>
      </w:r>
      <w:r w:rsidR="003E602D" w:rsidRPr="00C149FD">
        <w:t>; or</w:t>
      </w:r>
    </w:p>
    <w:p w14:paraId="11C559E6" w14:textId="6F3E8F86" w:rsidR="003E602D" w:rsidRDefault="003E602D" w:rsidP="0049078C">
      <w:pPr>
        <w:pStyle w:val="Bullet"/>
      </w:pPr>
      <w:r>
        <w:t>AEMO or AusNet Services</w:t>
      </w:r>
      <w:r w:rsidRPr="00C149FD">
        <w:t xml:space="preserve"> has been required to consult with any affected </w:t>
      </w:r>
      <w:r w:rsidRPr="0020778A">
        <w:rPr>
          <w:i/>
        </w:rPr>
        <w:t xml:space="preserve">Network Service Providers, Transmission Network Users </w:t>
      </w:r>
      <w:r>
        <w:t>(or, in the case of AusNet Services, AEMO)</w:t>
      </w:r>
      <w:r w:rsidRPr="00C149FD">
        <w:t xml:space="preserve">, </w:t>
      </w:r>
      <w:r>
        <w:t xml:space="preserve">for the period reasonably allowed by AEMO or AusNet Services for such consultation or </w:t>
      </w:r>
      <w:r w:rsidRPr="00C149FD">
        <w:t xml:space="preserve">until the receipt of </w:t>
      </w:r>
      <w:r>
        <w:t xml:space="preserve">any information required from that party for the purpose of providing the </w:t>
      </w:r>
      <w:r w:rsidRPr="0020778A">
        <w:rPr>
          <w:i/>
        </w:rPr>
        <w:t>negotiated transmission service</w:t>
      </w:r>
      <w:r w:rsidRPr="00C149FD">
        <w:t>, whichever is later.</w:t>
      </w:r>
    </w:p>
    <w:p w14:paraId="5B1691F0" w14:textId="77777777" w:rsidR="003E602D" w:rsidRDefault="003E602D" w:rsidP="003E602D">
      <w:pPr>
        <w:pStyle w:val="Heading1"/>
      </w:pPr>
      <w:bookmarkStart w:id="17" w:name="_Toc424297384"/>
      <w:r>
        <w:t>Termination of Negotiations</w:t>
      </w:r>
      <w:bookmarkEnd w:id="17"/>
    </w:p>
    <w:p w14:paraId="0BE985AC" w14:textId="77777777" w:rsidR="003E602D" w:rsidRPr="00C149FD" w:rsidRDefault="003E602D" w:rsidP="003E602D">
      <w:r w:rsidRPr="00C149FD">
        <w:t xml:space="preserve">The </w:t>
      </w:r>
      <w:r w:rsidRPr="00C149FD">
        <w:rPr>
          <w:i/>
        </w:rPr>
        <w:t>Service Applicant</w:t>
      </w:r>
      <w:r w:rsidRPr="00C149FD">
        <w:t xml:space="preserve"> may elect not to continue with </w:t>
      </w:r>
      <w:r>
        <w:t xml:space="preserve">an </w:t>
      </w:r>
      <w:r w:rsidRPr="00C149FD">
        <w:t xml:space="preserve">application for a </w:t>
      </w:r>
      <w:r w:rsidRPr="00C149FD">
        <w:rPr>
          <w:i/>
        </w:rPr>
        <w:t>negotiated transmission service</w:t>
      </w:r>
      <w:r w:rsidRPr="00C149FD">
        <w:t xml:space="preserve"> and may terminate the negotiations by giving </w:t>
      </w:r>
      <w:r>
        <w:t xml:space="preserve">the other Negotiating Parties </w:t>
      </w:r>
      <w:r w:rsidRPr="00C149FD">
        <w:t>written notice of its decision to do so.</w:t>
      </w:r>
    </w:p>
    <w:p w14:paraId="18B9D707" w14:textId="77777777" w:rsidR="003E602D" w:rsidRPr="00C149FD" w:rsidRDefault="003E602D" w:rsidP="003E602D">
      <w:r>
        <w:t>AEMO or AusNet Services</w:t>
      </w:r>
      <w:r w:rsidRPr="00C149FD">
        <w:t xml:space="preserve"> may terminate a negotiation under this </w:t>
      </w:r>
      <w:r w:rsidRPr="00C149FD">
        <w:rPr>
          <w:i/>
        </w:rPr>
        <w:t>negotiating framework</w:t>
      </w:r>
      <w:r w:rsidRPr="00C149FD">
        <w:t xml:space="preserve"> by giving the </w:t>
      </w:r>
      <w:r>
        <w:t xml:space="preserve">AusNet Services or AEMO (as applicable) and the </w:t>
      </w:r>
      <w:r w:rsidRPr="00C149FD">
        <w:rPr>
          <w:i/>
        </w:rPr>
        <w:t>Service Applicant</w:t>
      </w:r>
      <w:r w:rsidRPr="00C149FD">
        <w:t xml:space="preserve"> written notice of its intention to </w:t>
      </w:r>
      <w:r>
        <w:t xml:space="preserve">do </w:t>
      </w:r>
      <w:r w:rsidRPr="00C149FD">
        <w:t>so where:</w:t>
      </w:r>
    </w:p>
    <w:p w14:paraId="2C7ADC38" w14:textId="77777777" w:rsidR="003E602D" w:rsidRPr="00C149FD" w:rsidRDefault="00FC02BD" w:rsidP="00FC02BD">
      <w:pPr>
        <w:pStyle w:val="Bullet"/>
      </w:pPr>
      <w:r>
        <w:t>I</w:t>
      </w:r>
      <w:r w:rsidR="003E602D">
        <w:t xml:space="preserve">t </w:t>
      </w:r>
      <w:r w:rsidR="003E602D" w:rsidRPr="00C149FD">
        <w:t xml:space="preserve">is of the reasonable opinion that the </w:t>
      </w:r>
      <w:r w:rsidR="003E602D" w:rsidRPr="00C149FD">
        <w:rPr>
          <w:i/>
        </w:rPr>
        <w:t>Service Applicant</w:t>
      </w:r>
      <w:r w:rsidR="003E602D" w:rsidRPr="00C149FD">
        <w:t xml:space="preserve"> will not acquire the </w:t>
      </w:r>
      <w:r w:rsidR="003E602D" w:rsidRPr="00C149FD">
        <w:rPr>
          <w:i/>
        </w:rPr>
        <w:t>negotiated transmission service</w:t>
      </w:r>
      <w:r w:rsidR="003E602D" w:rsidRPr="00C149FD">
        <w:t>;</w:t>
      </w:r>
    </w:p>
    <w:p w14:paraId="005F1E6C" w14:textId="77777777" w:rsidR="003E602D" w:rsidRPr="00C149FD" w:rsidRDefault="00FC02BD" w:rsidP="00FC02BD">
      <w:pPr>
        <w:pStyle w:val="Bullet"/>
      </w:pPr>
      <w:r>
        <w:t>I</w:t>
      </w:r>
      <w:r w:rsidR="003E602D">
        <w:t xml:space="preserve">t </w:t>
      </w:r>
      <w:r w:rsidR="003E602D" w:rsidRPr="00C149FD">
        <w:t xml:space="preserve">believes on reasonable grounds that the </w:t>
      </w:r>
      <w:r w:rsidR="003E602D" w:rsidRPr="00C149FD">
        <w:rPr>
          <w:i/>
        </w:rPr>
        <w:t>Service Applicant</w:t>
      </w:r>
      <w:r w:rsidR="003E602D" w:rsidRPr="00C149FD">
        <w:t xml:space="preserve"> is not conducting the negotiations in good faith;</w:t>
      </w:r>
    </w:p>
    <w:p w14:paraId="5C1ED30D" w14:textId="77777777" w:rsidR="003E602D" w:rsidRPr="00C149FD" w:rsidRDefault="00FC02BD" w:rsidP="00FC02BD">
      <w:pPr>
        <w:pStyle w:val="Bullet"/>
      </w:pPr>
      <w:r>
        <w:t>T</w:t>
      </w:r>
      <w:r w:rsidR="003E602D" w:rsidRPr="00C149FD">
        <w:t xml:space="preserve">he </w:t>
      </w:r>
      <w:r w:rsidR="003E602D" w:rsidRPr="00C149FD">
        <w:rPr>
          <w:i/>
        </w:rPr>
        <w:t>Service Applicant</w:t>
      </w:r>
      <w:r w:rsidR="003E602D" w:rsidRPr="00C149FD">
        <w:t xml:space="preserve"> consistently fails to comply with the obligations in this </w:t>
      </w:r>
      <w:r w:rsidR="003E602D" w:rsidRPr="00C149FD">
        <w:rPr>
          <w:i/>
        </w:rPr>
        <w:t>negotiating framework</w:t>
      </w:r>
      <w:r w:rsidR="003E602D" w:rsidRPr="00C149FD">
        <w:t>;</w:t>
      </w:r>
    </w:p>
    <w:p w14:paraId="25936DF2" w14:textId="77777777" w:rsidR="003E602D" w:rsidRPr="00C149FD" w:rsidRDefault="00FC02BD" w:rsidP="00FC02BD">
      <w:pPr>
        <w:pStyle w:val="Bullet"/>
      </w:pPr>
      <w:r>
        <w:t>T</w:t>
      </w:r>
      <w:r w:rsidR="003E602D" w:rsidRPr="00C149FD">
        <w:t xml:space="preserve">he </w:t>
      </w:r>
      <w:r w:rsidR="003E602D" w:rsidRPr="00C149FD">
        <w:rPr>
          <w:i/>
        </w:rPr>
        <w:t>Service Applicant</w:t>
      </w:r>
      <w:r w:rsidR="003E602D" w:rsidRPr="00C149FD">
        <w:t xml:space="preserve"> fails to pay </w:t>
      </w:r>
      <w:r w:rsidR="0016571E">
        <w:t xml:space="preserve">one or more of </w:t>
      </w:r>
      <w:r w:rsidR="003E602D" w:rsidRPr="00C149FD">
        <w:t xml:space="preserve">the </w:t>
      </w:r>
      <w:r w:rsidR="003E602D">
        <w:t>amounts</w:t>
      </w:r>
      <w:r w:rsidR="003E602D" w:rsidRPr="00C149FD">
        <w:t xml:space="preserve"> specified in section 6; or</w:t>
      </w:r>
    </w:p>
    <w:p w14:paraId="23EDA512" w14:textId="77777777" w:rsidR="003E602D" w:rsidRPr="00227E8F" w:rsidRDefault="00FC02BD" w:rsidP="00FC02BD">
      <w:pPr>
        <w:pStyle w:val="Bullet"/>
      </w:pPr>
      <w:r>
        <w:t>A</w:t>
      </w:r>
      <w:r w:rsidR="003E602D" w:rsidRPr="00C149FD">
        <w:t xml:space="preserve">n event occurs in relation to the </w:t>
      </w:r>
      <w:r w:rsidR="003E602D" w:rsidRPr="00E72A3D">
        <w:rPr>
          <w:i/>
        </w:rPr>
        <w:t xml:space="preserve">Service Applicant </w:t>
      </w:r>
      <w:r w:rsidR="003E602D" w:rsidRPr="00C149FD">
        <w:t xml:space="preserve">that would be a </w:t>
      </w:r>
      <w:r w:rsidR="003E602D" w:rsidRPr="00E72A3D">
        <w:rPr>
          <w:i/>
        </w:rPr>
        <w:t>default event</w:t>
      </w:r>
      <w:r w:rsidR="003E602D" w:rsidRPr="00C149FD">
        <w:t xml:space="preserve"> under any of clauses 3.15.21</w:t>
      </w:r>
      <w:r w:rsidR="00091A0E">
        <w:t xml:space="preserve"> (</w:t>
      </w:r>
      <w:r w:rsidR="00C030B8">
        <w:t>a</w:t>
      </w:r>
      <w:r w:rsidR="00091A0E">
        <w:t>)</w:t>
      </w:r>
      <w:r w:rsidR="003E602D" w:rsidRPr="00C149FD">
        <w:t>(7) to 3.15.21</w:t>
      </w:r>
      <w:r w:rsidR="00091A0E">
        <w:t>(</w:t>
      </w:r>
      <w:r w:rsidR="00C030B8">
        <w:t>a</w:t>
      </w:r>
      <w:r w:rsidR="00091A0E">
        <w:t>)</w:t>
      </w:r>
      <w:r w:rsidR="003E602D" w:rsidRPr="00C149FD">
        <w:t xml:space="preserve">(15) of the </w:t>
      </w:r>
      <w:r w:rsidR="003E602D" w:rsidRPr="00E72A3D">
        <w:rPr>
          <w:i/>
        </w:rPr>
        <w:t>Rules</w:t>
      </w:r>
      <w:r w:rsidR="003E602D" w:rsidRPr="00C149FD">
        <w:t xml:space="preserve"> if the </w:t>
      </w:r>
      <w:r w:rsidR="003E602D" w:rsidRPr="00E72A3D">
        <w:rPr>
          <w:i/>
        </w:rPr>
        <w:t xml:space="preserve">Service Applicant </w:t>
      </w:r>
      <w:r w:rsidR="003E602D" w:rsidRPr="00C149FD">
        <w:t xml:space="preserve">were a </w:t>
      </w:r>
      <w:r w:rsidR="003E602D" w:rsidRPr="00E72A3D">
        <w:rPr>
          <w:i/>
        </w:rPr>
        <w:t>Market Participant</w:t>
      </w:r>
      <w:r w:rsidR="003E602D" w:rsidRPr="00C149FD">
        <w:t>.</w:t>
      </w:r>
      <w:bookmarkEnd w:id="5"/>
    </w:p>
    <w:sectPr w:rsidR="003E602D" w:rsidRPr="00227E8F">
      <w:pgSz w:w="11907" w:h="16840" w:code="9"/>
      <w:pgMar w:top="851" w:right="1134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5D06" w14:textId="77777777" w:rsidR="002F2114" w:rsidRDefault="002F2114">
      <w:r>
        <w:separator/>
      </w:r>
    </w:p>
  </w:endnote>
  <w:endnote w:type="continuationSeparator" w:id="0">
    <w:p w14:paraId="75FFBBFD" w14:textId="77777777" w:rsidR="002F2114" w:rsidRDefault="002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0512" w14:textId="77777777" w:rsidR="005D7506" w:rsidRDefault="005D7506" w:rsidP="00BE45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D540AE" w14:textId="77777777" w:rsidR="005D7506" w:rsidRDefault="005D750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5B91" w14:textId="77777777" w:rsidR="005D7506" w:rsidRDefault="009864F4" w:rsidP="00BE4563">
    <w:pPr>
      <w:pStyle w:val="Footer"/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5FAB01" wp14:editId="37303109">
              <wp:simplePos x="0" y="0"/>
              <wp:positionH relativeFrom="column">
                <wp:posOffset>-120650</wp:posOffset>
              </wp:positionH>
              <wp:positionV relativeFrom="paragraph">
                <wp:posOffset>221615</wp:posOffset>
              </wp:positionV>
              <wp:extent cx="6556375" cy="38925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6375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E2A41" w14:textId="392CDB41" w:rsidR="005D7506" w:rsidRDefault="005D7506">
                          <w:pPr>
                            <w:ind w:left="142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 xml:space="preserve">Issued: 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855A6E">
                            <w:rPr>
                              <w:rFonts w:cs="Arial"/>
                              <w:noProof/>
                              <w:sz w:val="16"/>
                            </w:rPr>
                            <w:t>5/25/2018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(Revision No:  )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>Author / ?: (Name)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>Approved: Name</w:t>
                          </w:r>
                        </w:p>
                        <w:p w14:paraId="0807B44B" w14:textId="5F08D522" w:rsidR="005D7506" w:rsidRDefault="005D7506">
                          <w:pPr>
                            <w:ind w:left="142"/>
                          </w:pPr>
                          <w:r>
                            <w:rPr>
                              <w:rFonts w:cs="Arial"/>
                              <w:sz w:val="16"/>
                            </w:rPr>
                            <w:t xml:space="preserve">Printed: 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855A6E">
                            <w:rPr>
                              <w:rFonts w:cs="Arial"/>
                              <w:noProof/>
                              <w:sz w:val="16"/>
                            </w:rPr>
                            <w:t>5/25/2018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>UNCONTROLLED DOCUMENT WHEN PRINTED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FAB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9.5pt;margin-top:17.45pt;width:516.25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o+hAIAABA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" stroked="f">
              <v:textbox>
                <w:txbxContent>
                  <w:p w14:paraId="0ADE2A41" w14:textId="392CDB41" w:rsidR="005D7506" w:rsidRDefault="005D7506">
                    <w:pPr>
                      <w:ind w:left="142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 xml:space="preserve">Issued: </w:t>
                    </w:r>
                    <w:r>
                      <w:rPr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sz w:val="16"/>
                      </w:rPr>
                      <w:instrText xml:space="preserve"> DATE \@ "M/d/yyyy" </w:instrText>
                    </w:r>
                    <w:r>
                      <w:rPr>
                        <w:rFonts w:cs="Arial"/>
                        <w:sz w:val="16"/>
                      </w:rPr>
                      <w:fldChar w:fldCharType="separate"/>
                    </w:r>
                    <w:r w:rsidR="00855A6E">
                      <w:rPr>
                        <w:rFonts w:cs="Arial"/>
                        <w:noProof/>
                        <w:sz w:val="16"/>
                      </w:rPr>
                      <w:t>5/25/2018</w:t>
                    </w:r>
                    <w:r>
                      <w:rPr>
                        <w:rFonts w:cs="Arial"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</w:rPr>
                      <w:t xml:space="preserve"> (Revision No:  )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>Author / ?: (Name)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>Approved: Name</w:t>
                    </w:r>
                  </w:p>
                  <w:p w14:paraId="0807B44B" w14:textId="5F08D522" w:rsidR="005D7506" w:rsidRDefault="005D7506">
                    <w:pPr>
                      <w:ind w:left="142"/>
                    </w:pPr>
                    <w:r>
                      <w:rPr>
                        <w:rFonts w:cs="Arial"/>
                        <w:sz w:val="16"/>
                      </w:rPr>
                      <w:t xml:space="preserve">Printed: </w:t>
                    </w:r>
                    <w:r>
                      <w:rPr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sz w:val="16"/>
                      </w:rPr>
                      <w:instrText xml:space="preserve"> DATE \@ "M/d/yyyy" </w:instrText>
                    </w:r>
                    <w:r>
                      <w:rPr>
                        <w:rFonts w:cs="Arial"/>
                        <w:sz w:val="16"/>
                      </w:rPr>
                      <w:fldChar w:fldCharType="separate"/>
                    </w:r>
                    <w:r w:rsidR="00855A6E">
                      <w:rPr>
                        <w:rFonts w:cs="Arial"/>
                        <w:noProof/>
                        <w:sz w:val="16"/>
                      </w:rPr>
                      <w:t>5/25/2018</w:t>
                    </w:r>
                    <w:r>
                      <w:rPr>
                        <w:rFonts w:cs="Arial"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>UNCONTROLLED DOCUMENT WHEN PRINTED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D750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F58F" w14:textId="77777777" w:rsidR="005D7506" w:rsidRDefault="005D7506" w:rsidP="00BE45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15E4B" w14:textId="77777777" w:rsidR="005D7506" w:rsidRDefault="005D7506">
    <w:pPr>
      <w:ind w:left="-1080"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4BD6" w14:textId="7A8DB85A" w:rsidR="005D7506" w:rsidRPr="00BE4563" w:rsidRDefault="004F330E" w:rsidP="00BE4563">
    <w:pPr>
      <w:pStyle w:val="Footer"/>
      <w:rPr>
        <w:rStyle w:val="PageNumber"/>
        <w:rFonts w:ascii="Arial" w:hAnsi="Arial" w:cs="Arial"/>
        <w:b w:val="0"/>
        <w:color w:val="031F73" w:themeColor="text2"/>
        <w:sz w:val="16"/>
      </w:rPr>
    </w:pPr>
    <w:r w:rsidRPr="00BE4563">
      <w:t>&lt;</w:t>
    </w:r>
    <w:r w:rsidR="006B42FF" w:rsidRPr="00BE4563">
      <w:t>DRAFT</w:t>
    </w:r>
    <w:r w:rsidRPr="00BE4563">
      <w:t>&gt;</w:t>
    </w:r>
    <w:r w:rsidR="005D7506" w:rsidRPr="00BE4563">
      <w:tab/>
    </w:r>
    <w:r w:rsidR="00D77A70">
      <w:t>31 October 2015</w:t>
    </w:r>
    <w:r w:rsidR="005D7506" w:rsidRPr="00BE4563">
      <w:tab/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fldChar w:fldCharType="begin"/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instrText xml:space="preserve"> PAGE </w:instrText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fldChar w:fldCharType="separate"/>
    </w:r>
    <w:r w:rsidR="00855A6E">
      <w:rPr>
        <w:rStyle w:val="PageNumber"/>
        <w:rFonts w:ascii="Arial" w:hAnsi="Arial" w:cs="Arial"/>
        <w:noProof/>
        <w:color w:val="031F73" w:themeColor="text2"/>
        <w:sz w:val="16"/>
      </w:rPr>
      <w:t>9</w:t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fldChar w:fldCharType="end"/>
    </w:r>
    <w:r w:rsidR="006B42FF" w:rsidRPr="00BE4563">
      <w:rPr>
        <w:rStyle w:val="PageNumber"/>
        <w:rFonts w:ascii="Arial" w:hAnsi="Arial" w:cs="Arial"/>
        <w:color w:val="031F73" w:themeColor="text2"/>
        <w:sz w:val="16"/>
      </w:rPr>
      <w:t xml:space="preserve"> </w:t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t xml:space="preserve">/ </w:t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fldChar w:fldCharType="begin"/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instrText xml:space="preserve"> NUMPAGES </w:instrText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fldChar w:fldCharType="separate"/>
    </w:r>
    <w:r w:rsidR="00855A6E">
      <w:rPr>
        <w:rStyle w:val="PageNumber"/>
        <w:rFonts w:ascii="Arial" w:hAnsi="Arial" w:cs="Arial"/>
        <w:noProof/>
        <w:color w:val="031F73" w:themeColor="text2"/>
        <w:sz w:val="16"/>
      </w:rPr>
      <w:t>9</w:t>
    </w:r>
    <w:r w:rsidR="005D7506" w:rsidRPr="00BE4563">
      <w:rPr>
        <w:rStyle w:val="PageNumber"/>
        <w:rFonts w:ascii="Arial" w:hAnsi="Arial" w:cs="Arial"/>
        <w:color w:val="031F73" w:themeColor="text2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D685" w14:textId="77777777" w:rsidR="005D7506" w:rsidRDefault="009864F4" w:rsidP="00BE456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9371C4" wp14:editId="18803E2E">
              <wp:simplePos x="0" y="0"/>
              <wp:positionH relativeFrom="column">
                <wp:posOffset>-536575</wp:posOffset>
              </wp:positionH>
              <wp:positionV relativeFrom="paragraph">
                <wp:posOffset>43815</wp:posOffset>
              </wp:positionV>
              <wp:extent cx="6556375" cy="45593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63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7C32F" w14:textId="70E555A9" w:rsidR="005D7506" w:rsidRDefault="005D7506">
                          <w:pPr>
                            <w:ind w:left="142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 xml:space="preserve">Issued: 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855A6E">
                            <w:rPr>
                              <w:rFonts w:cs="Arial"/>
                              <w:noProof/>
                              <w:sz w:val="16"/>
                            </w:rPr>
                            <w:t>5/25/2018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(Revision No:  )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>Author / ?: (Name)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>Approved: Name</w:t>
                          </w:r>
                        </w:p>
                        <w:p w14:paraId="66F7B64B" w14:textId="1F8AE58F" w:rsidR="005D7506" w:rsidRDefault="005D7506">
                          <w:pPr>
                            <w:ind w:left="142"/>
                          </w:pPr>
                          <w:r>
                            <w:rPr>
                              <w:rFonts w:cs="Arial"/>
                              <w:sz w:val="16"/>
                            </w:rPr>
                            <w:t xml:space="preserve">Printed: 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855A6E">
                            <w:rPr>
                              <w:rFonts w:cs="Arial"/>
                              <w:noProof/>
                              <w:sz w:val="16"/>
                            </w:rPr>
                            <w:t>5/25/2018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>UNCONTROLLED DOCUMENT WHEN PRINTED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cs="Arial"/>
                              <w:sz w:val="16"/>
                            </w:rPr>
                            <w:tab/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6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fldChar w:fldCharType="separate"/>
                          </w:r>
                          <w:r w:rsidR="002352A1">
                            <w:rPr>
                              <w:rStyle w:val="PageNumber"/>
                              <w:rFonts w:ascii="Arial" w:hAnsi="Arial" w:cs="Arial"/>
                              <w:caps/>
                              <w:noProof/>
                              <w:sz w:val="16"/>
                            </w:rPr>
                            <w:t>8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ap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371C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42.25pt;margin-top:3.45pt;width:516.25pt;height:3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" stroked="f">
              <v:textbox>
                <w:txbxContent>
                  <w:p w14:paraId="48A7C32F" w14:textId="70E555A9" w:rsidR="005D7506" w:rsidRDefault="005D7506">
                    <w:pPr>
                      <w:ind w:left="142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 xml:space="preserve">Issued: </w:t>
                    </w:r>
                    <w:r>
                      <w:rPr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sz w:val="16"/>
                      </w:rPr>
                      <w:instrText xml:space="preserve"> DATE \@ "M/d/yyyy" </w:instrText>
                    </w:r>
                    <w:r>
                      <w:rPr>
                        <w:rFonts w:cs="Arial"/>
                        <w:sz w:val="16"/>
                      </w:rPr>
                      <w:fldChar w:fldCharType="separate"/>
                    </w:r>
                    <w:r w:rsidR="00855A6E">
                      <w:rPr>
                        <w:rFonts w:cs="Arial"/>
                        <w:noProof/>
                        <w:sz w:val="16"/>
                      </w:rPr>
                      <w:t>5/25/2018</w:t>
                    </w:r>
                    <w:r>
                      <w:rPr>
                        <w:rFonts w:cs="Arial"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</w:rPr>
                      <w:t xml:space="preserve"> (Revision No:  )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>Author / ?: (Name)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>Approved: Name</w:t>
                    </w:r>
                  </w:p>
                  <w:p w14:paraId="66F7B64B" w14:textId="1F8AE58F" w:rsidR="005D7506" w:rsidRDefault="005D7506">
                    <w:pPr>
                      <w:ind w:left="142"/>
                    </w:pPr>
                    <w:r>
                      <w:rPr>
                        <w:rFonts w:cs="Arial"/>
                        <w:sz w:val="16"/>
                      </w:rPr>
                      <w:t xml:space="preserve">Printed: </w:t>
                    </w:r>
                    <w:r>
                      <w:rPr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sz w:val="16"/>
                      </w:rPr>
                      <w:instrText xml:space="preserve"> DATE \@ "M/d/yyyy" </w:instrText>
                    </w:r>
                    <w:r>
                      <w:rPr>
                        <w:rFonts w:cs="Arial"/>
                        <w:sz w:val="16"/>
                      </w:rPr>
                      <w:fldChar w:fldCharType="separate"/>
                    </w:r>
                    <w:r w:rsidR="00855A6E">
                      <w:rPr>
                        <w:rFonts w:cs="Arial"/>
                        <w:noProof/>
                        <w:sz w:val="16"/>
                      </w:rPr>
                      <w:t>5/25/2018</w:t>
                    </w:r>
                    <w:r>
                      <w:rPr>
                        <w:rFonts w:cs="Arial"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>UNCONTROLLED DOCUMENT WHEN PRINTED</w:t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</w:r>
                    <w:r>
                      <w:rPr>
                        <w:rFonts w:cs="Arial"/>
                        <w:sz w:val="16"/>
                      </w:rPr>
                      <w:tab/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noProof/>
                        <w:sz w:val="16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sz w:val="16"/>
                      </w:rPr>
                      <w:t>/</w:t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fldChar w:fldCharType="separate"/>
                    </w:r>
                    <w:r w:rsidR="002352A1">
                      <w:rPr>
                        <w:rStyle w:val="PageNumber"/>
                        <w:rFonts w:ascii="Arial" w:hAnsi="Arial" w:cs="Arial"/>
                        <w:caps/>
                        <w:noProof/>
                        <w:sz w:val="16"/>
                      </w:rPr>
                      <w:t>8</w:t>
                    </w:r>
                    <w:r>
                      <w:rPr>
                        <w:rStyle w:val="PageNumber"/>
                        <w:rFonts w:ascii="Arial" w:hAnsi="Arial" w:cs="Arial"/>
                        <w:cap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EB7D0" w14:textId="77777777" w:rsidR="002F2114" w:rsidRDefault="002F2114">
      <w:r>
        <w:separator/>
      </w:r>
    </w:p>
  </w:footnote>
  <w:footnote w:type="continuationSeparator" w:id="0">
    <w:p w14:paraId="2347D09C" w14:textId="77777777" w:rsidR="002F2114" w:rsidRDefault="002F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EA54" w14:textId="77777777" w:rsidR="00684203" w:rsidRDefault="00B17AA8" w:rsidP="00B17AA8">
    <w:pPr>
      <w:pStyle w:val="Header"/>
      <w:jc w:val="right"/>
    </w:pPr>
    <w:r>
      <w:rPr>
        <w:noProof/>
        <w:lang w:eastAsia="en-AU"/>
      </w:rPr>
      <w:drawing>
        <wp:inline distT="0" distB="0" distL="0" distR="0" wp14:anchorId="59A257A8" wp14:editId="4409B640">
          <wp:extent cx="2355215" cy="76771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203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43A19682" wp14:editId="2917CA3A">
          <wp:simplePos x="0" y="0"/>
          <wp:positionH relativeFrom="column">
            <wp:posOffset>-843280</wp:posOffset>
          </wp:positionH>
          <wp:positionV relativeFrom="paragraph">
            <wp:posOffset>33020</wp:posOffset>
          </wp:positionV>
          <wp:extent cx="7607085" cy="1447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08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203"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10B5D41C" wp14:editId="2A970320">
          <wp:simplePos x="0" y="0"/>
          <wp:positionH relativeFrom="column">
            <wp:posOffset>-889000</wp:posOffset>
          </wp:positionH>
          <wp:positionV relativeFrom="paragraph">
            <wp:posOffset>4674235</wp:posOffset>
          </wp:positionV>
          <wp:extent cx="7559040" cy="5651500"/>
          <wp:effectExtent l="0" t="0" r="3810" b="6350"/>
          <wp:wrapNone/>
          <wp:docPr id="5" name="Picture 1" descr="SPA24320_AusNet Footer_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24320_AusNet Footer_templa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040" cy="565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0EEA" w14:textId="77777777" w:rsidR="005D7506" w:rsidRDefault="005D7506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42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6769"/>
      <w:gridCol w:w="2552"/>
    </w:tblGrid>
    <w:tr w:rsidR="005D7506" w14:paraId="5FC189DC" w14:textId="77777777">
      <w:trPr>
        <w:cantSplit/>
      </w:trPr>
      <w:tc>
        <w:tcPr>
          <w:tcW w:w="6769" w:type="dxa"/>
          <w:tcBorders>
            <w:bottom w:val="single" w:sz="4" w:space="0" w:color="auto"/>
          </w:tcBorders>
        </w:tcPr>
        <w:p w14:paraId="59E17B8F" w14:textId="77777777" w:rsidR="005D7506" w:rsidRDefault="005D7506" w:rsidP="00963582">
          <w:pPr>
            <w:spacing w:before="60" w:after="60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AusNet</w:t>
          </w:r>
          <w:r w:rsidR="00963582">
            <w:rPr>
              <w:b/>
              <w:bCs/>
              <w:sz w:val="18"/>
            </w:rPr>
            <w:t> S</w:t>
          </w:r>
          <w:r w:rsidR="00684203">
            <w:rPr>
              <w:b/>
              <w:bCs/>
              <w:sz w:val="18"/>
            </w:rPr>
            <w:t>ervices</w:t>
          </w:r>
        </w:p>
      </w:tc>
      <w:tc>
        <w:tcPr>
          <w:tcW w:w="2552" w:type="dxa"/>
          <w:tcBorders>
            <w:bottom w:val="single" w:sz="4" w:space="0" w:color="auto"/>
          </w:tcBorders>
        </w:tcPr>
        <w:p w14:paraId="3A4E0FD1" w14:textId="77777777" w:rsidR="005D7506" w:rsidRDefault="00B17AA8">
          <w:pPr>
            <w:spacing w:before="60" w:after="60"/>
            <w:jc w:val="right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AEMO</w:t>
          </w:r>
        </w:p>
      </w:tc>
    </w:tr>
    <w:tr w:rsidR="00BE4563" w:rsidRPr="00BE4563" w14:paraId="108F8146" w14:textId="77777777">
      <w:trPr>
        <w:cantSplit/>
      </w:trPr>
      <w:tc>
        <w:tcPr>
          <w:tcW w:w="9321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1ED29AF6" w14:textId="77777777" w:rsidR="005D7506" w:rsidRPr="00BE4563" w:rsidRDefault="00C030B8" w:rsidP="001D1C4B">
          <w:pPr>
            <w:spacing w:before="60" w:after="60"/>
            <w:jc w:val="right"/>
            <w:rPr>
              <w:b/>
              <w:color w:val="031F73" w:themeColor="text2"/>
              <w:szCs w:val="22"/>
            </w:rPr>
          </w:pPr>
          <w:r>
            <w:rPr>
              <w:b/>
              <w:color w:val="031F73" w:themeColor="text2"/>
              <w:szCs w:val="22"/>
            </w:rPr>
            <w:t>Victorian Negotiating Framework</w:t>
          </w:r>
        </w:p>
      </w:tc>
    </w:tr>
  </w:tbl>
  <w:p w14:paraId="6C5F0CDB" w14:textId="77777777" w:rsidR="005D7506" w:rsidRDefault="005D7506" w:rsidP="006B42FF">
    <w:pPr>
      <w:spacing w:before="0" w:after="0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9D4AA" w14:textId="77777777" w:rsidR="005D7506" w:rsidRDefault="009864F4">
    <w:pPr>
      <w:pStyle w:val="Header"/>
    </w:pPr>
    <w:r>
      <w:rPr>
        <w:noProof/>
        <w:sz w:val="20"/>
        <w:lang w:eastAsia="en-AU"/>
      </w:rPr>
      <w:drawing>
        <wp:anchor distT="0" distB="0" distL="114300" distR="114300" simplePos="0" relativeHeight="251657728" behindDoc="0" locked="0" layoutInCell="1" allowOverlap="1" wp14:anchorId="4ED600DB" wp14:editId="02EBC28E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1770380" cy="476250"/>
          <wp:effectExtent l="0" t="0" r="1270" b="0"/>
          <wp:wrapNone/>
          <wp:docPr id="7" name="Picture 7" descr="SPI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PI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5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89B"/>
    <w:multiLevelType w:val="hybridMultilevel"/>
    <w:tmpl w:val="7F30DD66"/>
    <w:lvl w:ilvl="0" w:tplc="22C434C6">
      <w:start w:val="1"/>
      <w:numFmt w:val="bullet"/>
      <w:pStyle w:val="Strateg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E38"/>
    <w:multiLevelType w:val="hybridMultilevel"/>
    <w:tmpl w:val="B94AD812"/>
    <w:lvl w:ilvl="0" w:tplc="E7509834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F290F"/>
    <w:multiLevelType w:val="hybridMultilevel"/>
    <w:tmpl w:val="C390F6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E1964"/>
    <w:multiLevelType w:val="multilevel"/>
    <w:tmpl w:val="145A1DA4"/>
    <w:lvl w:ilvl="0">
      <w:start w:val="1"/>
      <w:numFmt w:val="lowerRoman"/>
      <w:pStyle w:val="BodyTextIndent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4"/>
        </w:tabs>
        <w:ind w:left="29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4"/>
        </w:tabs>
        <w:ind w:left="34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4"/>
        </w:tabs>
        <w:ind w:left="3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4"/>
        </w:tabs>
        <w:ind w:left="4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4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4"/>
        </w:tabs>
        <w:ind w:left="5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6044" w:hanging="1440"/>
      </w:pPr>
      <w:rPr>
        <w:rFonts w:hint="default"/>
      </w:rPr>
    </w:lvl>
  </w:abstractNum>
  <w:abstractNum w:abstractNumId="4" w15:restartNumberingAfterBreak="0">
    <w:nsid w:val="31D73A97"/>
    <w:multiLevelType w:val="hybridMultilevel"/>
    <w:tmpl w:val="E23A8500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EA22F2"/>
    <w:multiLevelType w:val="hybridMultilevel"/>
    <w:tmpl w:val="A96402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85"/>
    <w:multiLevelType w:val="hybridMultilevel"/>
    <w:tmpl w:val="EBE8B546"/>
    <w:lvl w:ilvl="0" w:tplc="C2EEA2D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E16CDF"/>
    <w:multiLevelType w:val="hybridMultilevel"/>
    <w:tmpl w:val="D318F1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130D"/>
    <w:multiLevelType w:val="hybridMultilevel"/>
    <w:tmpl w:val="1C64A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70563"/>
    <w:multiLevelType w:val="singleLevel"/>
    <w:tmpl w:val="98A0B66A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1E0419B"/>
    <w:multiLevelType w:val="multilevel"/>
    <w:tmpl w:val="43E2BF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2" w15:restartNumberingAfterBreak="0">
    <w:nsid w:val="5E761785"/>
    <w:multiLevelType w:val="hybridMultilevel"/>
    <w:tmpl w:val="F42CBFCE"/>
    <w:lvl w:ilvl="0" w:tplc="FF923342">
      <w:start w:val="1"/>
      <w:numFmt w:val="bullet"/>
      <w:pStyle w:val="Strategy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62C49"/>
    <w:multiLevelType w:val="hybridMultilevel"/>
    <w:tmpl w:val="34DEAD90"/>
    <w:lvl w:ilvl="0" w:tplc="FD7C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02007"/>
    <w:multiLevelType w:val="hybridMultilevel"/>
    <w:tmpl w:val="CC7078F6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F75A32"/>
    <w:multiLevelType w:val="hybridMultilevel"/>
    <w:tmpl w:val="CD64FDAE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EF43BE"/>
    <w:multiLevelType w:val="hybridMultilevel"/>
    <w:tmpl w:val="ABB6D944"/>
    <w:lvl w:ilvl="0" w:tplc="849850E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246B8"/>
    <w:multiLevelType w:val="hybridMultilevel"/>
    <w:tmpl w:val="097E9A0A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AB71545"/>
    <w:multiLevelType w:val="hybridMultilevel"/>
    <w:tmpl w:val="71CE831C"/>
    <w:lvl w:ilvl="0" w:tplc="754C54BA">
      <w:start w:val="2007"/>
      <w:numFmt w:val="bullet"/>
      <w:pStyle w:val="QuotesBullets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A6712"/>
    <w:multiLevelType w:val="hybridMultilevel"/>
    <w:tmpl w:val="C13C931E"/>
    <w:lvl w:ilvl="0" w:tplc="7D349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2BF6"/>
    <w:multiLevelType w:val="hybridMultilevel"/>
    <w:tmpl w:val="8A4E3AF8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8"/>
  </w:num>
  <w:num w:numId="10">
    <w:abstractNumId w:val="19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9"/>
    <w:rsid w:val="00005BA8"/>
    <w:rsid w:val="000158A5"/>
    <w:rsid w:val="000177C7"/>
    <w:rsid w:val="00037434"/>
    <w:rsid w:val="00037BDE"/>
    <w:rsid w:val="000778D9"/>
    <w:rsid w:val="0008650A"/>
    <w:rsid w:val="00091A0E"/>
    <w:rsid w:val="0009263C"/>
    <w:rsid w:val="000C303B"/>
    <w:rsid w:val="001037CD"/>
    <w:rsid w:val="0016571E"/>
    <w:rsid w:val="001A0D42"/>
    <w:rsid w:val="001B661D"/>
    <w:rsid w:val="001D1C4B"/>
    <w:rsid w:val="002076FA"/>
    <w:rsid w:val="00214423"/>
    <w:rsid w:val="00235017"/>
    <w:rsid w:val="002352A1"/>
    <w:rsid w:val="00265494"/>
    <w:rsid w:val="0027222C"/>
    <w:rsid w:val="00282C29"/>
    <w:rsid w:val="00291B83"/>
    <w:rsid w:val="002A03FE"/>
    <w:rsid w:val="002A7778"/>
    <w:rsid w:val="002B250E"/>
    <w:rsid w:val="002E4EB7"/>
    <w:rsid w:val="002F2114"/>
    <w:rsid w:val="002F3178"/>
    <w:rsid w:val="00300B53"/>
    <w:rsid w:val="00332445"/>
    <w:rsid w:val="0035159E"/>
    <w:rsid w:val="00397304"/>
    <w:rsid w:val="003B57A4"/>
    <w:rsid w:val="003E602D"/>
    <w:rsid w:val="00407E24"/>
    <w:rsid w:val="00436A48"/>
    <w:rsid w:val="004538B6"/>
    <w:rsid w:val="00455CFD"/>
    <w:rsid w:val="004635C4"/>
    <w:rsid w:val="00473853"/>
    <w:rsid w:val="0049078C"/>
    <w:rsid w:val="004D08FE"/>
    <w:rsid w:val="004E474F"/>
    <w:rsid w:val="004F330E"/>
    <w:rsid w:val="00501580"/>
    <w:rsid w:val="00534B23"/>
    <w:rsid w:val="005736F6"/>
    <w:rsid w:val="005B50DB"/>
    <w:rsid w:val="005B5513"/>
    <w:rsid w:val="005D7506"/>
    <w:rsid w:val="005F3B51"/>
    <w:rsid w:val="00684203"/>
    <w:rsid w:val="00697A3B"/>
    <w:rsid w:val="006B42FF"/>
    <w:rsid w:val="006E6261"/>
    <w:rsid w:val="00706EAD"/>
    <w:rsid w:val="00755934"/>
    <w:rsid w:val="007A5050"/>
    <w:rsid w:val="007B72AB"/>
    <w:rsid w:val="007C71A3"/>
    <w:rsid w:val="00837846"/>
    <w:rsid w:val="00847C1D"/>
    <w:rsid w:val="00855A6E"/>
    <w:rsid w:val="00863A1E"/>
    <w:rsid w:val="00883616"/>
    <w:rsid w:val="008840AA"/>
    <w:rsid w:val="00894D75"/>
    <w:rsid w:val="008B77C1"/>
    <w:rsid w:val="008F46F8"/>
    <w:rsid w:val="0096007A"/>
    <w:rsid w:val="00963582"/>
    <w:rsid w:val="00967B6C"/>
    <w:rsid w:val="00971444"/>
    <w:rsid w:val="009864F4"/>
    <w:rsid w:val="00A10600"/>
    <w:rsid w:val="00A869A8"/>
    <w:rsid w:val="00AC1FE3"/>
    <w:rsid w:val="00AF2C0D"/>
    <w:rsid w:val="00B17AA8"/>
    <w:rsid w:val="00B52630"/>
    <w:rsid w:val="00B719A9"/>
    <w:rsid w:val="00BA554A"/>
    <w:rsid w:val="00BC710B"/>
    <w:rsid w:val="00BD238D"/>
    <w:rsid w:val="00BE4563"/>
    <w:rsid w:val="00BF0EC8"/>
    <w:rsid w:val="00C030B8"/>
    <w:rsid w:val="00C32311"/>
    <w:rsid w:val="00C67E2C"/>
    <w:rsid w:val="00CA7488"/>
    <w:rsid w:val="00CB5911"/>
    <w:rsid w:val="00CD17F8"/>
    <w:rsid w:val="00CD25B1"/>
    <w:rsid w:val="00CE3E05"/>
    <w:rsid w:val="00CE49F2"/>
    <w:rsid w:val="00D44BC2"/>
    <w:rsid w:val="00D512C4"/>
    <w:rsid w:val="00D77A70"/>
    <w:rsid w:val="00DB1B1F"/>
    <w:rsid w:val="00DE37D4"/>
    <w:rsid w:val="00DF0731"/>
    <w:rsid w:val="00E14C86"/>
    <w:rsid w:val="00E71730"/>
    <w:rsid w:val="00E72516"/>
    <w:rsid w:val="00E83837"/>
    <w:rsid w:val="00E94402"/>
    <w:rsid w:val="00ED0FAA"/>
    <w:rsid w:val="00F3011C"/>
    <w:rsid w:val="00F323AB"/>
    <w:rsid w:val="00F66B0B"/>
    <w:rsid w:val="00FA7855"/>
    <w:rsid w:val="00FC02BD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50C610"/>
  <w15:docId w15:val="{571FE2F9-214F-4CB3-9D1B-71A2B6B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2FF"/>
    <w:pPr>
      <w:spacing w:before="120" w:after="120"/>
      <w:jc w:val="both"/>
    </w:pPr>
    <w:rPr>
      <w:rFonts w:ascii="Arial" w:hAnsi="Arial"/>
      <w:spacing w:val="-5"/>
      <w:sz w:val="22"/>
      <w:lang w:eastAsia="en-US"/>
    </w:rPr>
  </w:style>
  <w:style w:type="paragraph" w:styleId="Heading1">
    <w:name w:val="heading 1"/>
    <w:basedOn w:val="HeadingBase"/>
    <w:next w:val="BodyText"/>
    <w:autoRedefine/>
    <w:qFormat/>
    <w:rsid w:val="00DB1B1F"/>
    <w:pPr>
      <w:numPr>
        <w:numId w:val="13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188CCC" w:themeFill="accent6"/>
      <w:tabs>
        <w:tab w:val="left" w:pos="720"/>
      </w:tabs>
      <w:spacing w:before="360" w:line="240" w:lineRule="atLeast"/>
      <w:ind w:left="357" w:hanging="357"/>
      <w:outlineLvl w:val="0"/>
    </w:pPr>
    <w:rPr>
      <w:rFonts w:ascii="Arial Bold" w:hAnsi="Arial Bold"/>
      <w:b/>
      <w:color w:val="FFFFFF" w:themeColor="background1"/>
      <w:spacing w:val="-10"/>
      <w:kern w:val="20"/>
      <w:sz w:val="28"/>
    </w:rPr>
  </w:style>
  <w:style w:type="paragraph" w:styleId="Heading2">
    <w:name w:val="heading 2"/>
    <w:basedOn w:val="HeadingBase"/>
    <w:next w:val="BodyText"/>
    <w:autoRedefine/>
    <w:qFormat/>
    <w:rsid w:val="005B50DB"/>
    <w:pPr>
      <w:shd w:val="clear" w:color="auto" w:fill="188CCC" w:themeFill="accent6"/>
      <w:spacing w:before="240" w:after="240" w:line="240" w:lineRule="atLeast"/>
      <w:ind w:left="0"/>
      <w:outlineLvl w:val="1"/>
    </w:pPr>
    <w:rPr>
      <w:b/>
      <w:color w:val="FFFFFF" w:themeColor="background1"/>
      <w:spacing w:val="-15"/>
      <w:sz w:val="24"/>
      <w:lang w:eastAsia="en-AU"/>
    </w:rPr>
  </w:style>
  <w:style w:type="paragraph" w:styleId="Heading3">
    <w:name w:val="heading 3"/>
    <w:basedOn w:val="HeadingBase"/>
    <w:next w:val="BodyText"/>
    <w:autoRedefine/>
    <w:qFormat/>
    <w:rsid w:val="00BE4563"/>
    <w:pPr>
      <w:numPr>
        <w:ilvl w:val="2"/>
        <w:numId w:val="3"/>
      </w:numPr>
      <w:tabs>
        <w:tab w:val="clear" w:pos="1440"/>
        <w:tab w:val="left" w:pos="720"/>
      </w:tabs>
      <w:spacing w:before="480" w:after="240" w:line="240" w:lineRule="atLeast"/>
      <w:ind w:left="505" w:hanging="505"/>
      <w:outlineLvl w:val="2"/>
    </w:pPr>
    <w:rPr>
      <w:b/>
      <w:color w:val="031F73" w:themeColor="text2"/>
      <w:spacing w:val="-10"/>
    </w:rPr>
  </w:style>
  <w:style w:type="paragraph" w:styleId="Heading4">
    <w:name w:val="heading 4"/>
    <w:basedOn w:val="Heading3"/>
    <w:next w:val="Normal"/>
    <w:autoRedefine/>
    <w:qFormat/>
    <w:rsid w:val="00BE4563"/>
    <w:pPr>
      <w:numPr>
        <w:ilvl w:val="0"/>
        <w:numId w:val="0"/>
      </w:numPr>
      <w:spacing w:before="120"/>
      <w:ind w:left="709" w:hanging="709"/>
      <w:outlineLvl w:val="3"/>
    </w:pPr>
    <w:rPr>
      <w:bCs/>
    </w:rPr>
  </w:style>
  <w:style w:type="paragraph" w:styleId="Heading5">
    <w:name w:val="heading 5"/>
    <w:basedOn w:val="HeadingBase"/>
    <w:next w:val="BodyText"/>
    <w:qFormat/>
    <w:rsid w:val="00332445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spacing w:before="480" w:after="240" w:line="240" w:lineRule="atLeast"/>
      <w:ind w:left="0"/>
      <w:outlineLvl w:val="8"/>
    </w:pPr>
    <w:rPr>
      <w:rFonts w:ascii="Arial Bold" w:hAnsi="Arial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styleId="BodyText">
    <w:name w:val="Body Text"/>
    <w:basedOn w:val="Normal"/>
    <w:autoRedefine/>
    <w:rsid w:val="001D1C4B"/>
    <w:pPr>
      <w:spacing w:before="60" w:after="60"/>
    </w:pPr>
    <w:rPr>
      <w:rFonts w:ascii="Arial Bold" w:hAnsi="Arial Bold" w:cs="Arial"/>
      <w:bCs/>
      <w:spacing w:val="0"/>
      <w:sz w:val="28"/>
      <w:szCs w:val="28"/>
    </w:rPr>
  </w:style>
  <w:style w:type="paragraph" w:styleId="BodyTextIndent">
    <w:name w:val="Body Text Indent"/>
    <w:basedOn w:val="BodyText"/>
    <w:autoRedefine/>
    <w:pPr>
      <w:numPr>
        <w:numId w:val="4"/>
      </w:numPr>
      <w:jc w:val="left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  <w:ind w:left="1080"/>
    </w:pPr>
  </w:style>
  <w:style w:type="paragraph" w:styleId="Caption">
    <w:name w:val="caption"/>
    <w:basedOn w:val="CaptionCentred"/>
    <w:next w:val="BodyText"/>
    <w:qFormat/>
    <w:rsid w:val="008B77C1"/>
  </w:style>
  <w:style w:type="paragraph" w:customStyle="1" w:styleId="PartLabel">
    <w:name w:val="Part Label"/>
    <w:basedOn w:val="Normal"/>
    <w:autoRedefine/>
    <w:pPr>
      <w:shd w:val="clear" w:color="auto" w:fill="C0C0C0"/>
      <w:spacing w:line="360" w:lineRule="exact"/>
      <w:jc w:val="center"/>
    </w:pPr>
    <w:rPr>
      <w:rFonts w:ascii="Arial Bold" w:hAnsi="Arial Bold"/>
      <w:b/>
      <w:color w:val="333399"/>
      <w:spacing w:val="-16"/>
      <w:sz w:val="26"/>
    </w:rPr>
  </w:style>
  <w:style w:type="paragraph" w:customStyle="1" w:styleId="PartTitle">
    <w:name w:val="Part Title"/>
    <w:basedOn w:val="Normal"/>
    <w:autoRedefine/>
    <w:pPr>
      <w:shd w:val="clear" w:color="auto" w:fill="C0C0C0"/>
      <w:spacing w:line="360" w:lineRule="exact"/>
      <w:jc w:val="center"/>
    </w:pPr>
    <w:rPr>
      <w:rFonts w:ascii="Arial Bold" w:hAnsi="Arial Bold"/>
      <w:b/>
      <w:color w:val="000080"/>
      <w:spacing w:val="-40"/>
      <w:sz w:val="36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spacing w:val="-4"/>
      <w:kern w:val="28"/>
    </w:rPr>
  </w:style>
  <w:style w:type="paragraph" w:styleId="Title">
    <w:name w:val="Title"/>
    <w:basedOn w:val="HeadingBase"/>
    <w:next w:val="Subtitle"/>
    <w:autoRedefine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color w:val="000080"/>
      <w:spacing w:val="-30"/>
      <w:sz w:val="40"/>
    </w:rPr>
  </w:style>
  <w:style w:type="paragraph" w:styleId="Subtitle">
    <w:name w:val="Subtitle"/>
    <w:aliases w:val="Footnotes"/>
    <w:basedOn w:val="Title"/>
    <w:next w:val="BodyText"/>
    <w:qFormat/>
    <w:rsid w:val="00AC1FE3"/>
    <w:pPr>
      <w:pBdr>
        <w:top w:val="none" w:sz="0" w:space="0" w:color="auto"/>
      </w:pBdr>
      <w:spacing w:before="60" w:line="240" w:lineRule="auto"/>
    </w:pPr>
    <w:rPr>
      <w:rFonts w:ascii="Arial" w:hAnsi="Arial"/>
      <w:color w:val="auto"/>
      <w:spacing w:val="-16"/>
      <w:sz w:val="18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autoRedefine/>
    <w:pPr>
      <w:spacing w:line="660" w:lineRule="exact"/>
    </w:pPr>
    <w:rPr>
      <w:rFonts w:ascii="Arial Bold" w:hAnsi="Arial Bold"/>
      <w:b/>
      <w:color w:val="000080"/>
      <w:spacing w:val="0"/>
      <w:sz w:val="36"/>
    </w:rPr>
  </w:style>
  <w:style w:type="character" w:styleId="CommentReference">
    <w:name w:val="annotation reference"/>
    <w:semiHidden/>
    <w:rPr>
      <w:rFonts w:ascii="Arial" w:hAnsi="Arial"/>
      <w:spacing w:val="0"/>
      <w:position w:val="0"/>
      <w:sz w:val="20"/>
    </w:rPr>
  </w:style>
  <w:style w:type="paragraph" w:customStyle="1" w:styleId="FootnoteBase">
    <w:name w:val="Footnote Base"/>
    <w:basedOn w:val="Normal"/>
    <w:link w:val="FootnoteBaseChar"/>
    <w:rsid w:val="00AC1FE3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link w:val="CommentTextChar"/>
    <w:autoRedefine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/>
    </w:pPr>
    <w:rPr>
      <w:sz w:val="22"/>
    </w:rPr>
  </w:style>
  <w:style w:type="paragraph" w:customStyle="1" w:styleId="TableText">
    <w:name w:val="Table Text"/>
    <w:basedOn w:val="Normal"/>
    <w:pPr>
      <w:spacing w:before="60"/>
    </w:pPr>
    <w:rPr>
      <w:spacing w:val="0"/>
      <w:sz w:val="20"/>
    </w:rPr>
  </w:style>
  <w:style w:type="paragraph" w:customStyle="1" w:styleId="TitleCover">
    <w:name w:val="Title Cover"/>
    <w:basedOn w:val="Normal"/>
    <w:next w:val="Normal"/>
    <w:autoRedefine/>
    <w:rsid w:val="00BA554A"/>
    <w:pPr>
      <w:jc w:val="left"/>
    </w:pPr>
    <w:rPr>
      <w:rFonts w:cs="Arial"/>
      <w:b/>
      <w:bCs/>
      <w:color w:val="0000FF"/>
      <w:sz w:val="60"/>
    </w:rPr>
  </w:style>
  <w:style w:type="paragraph" w:customStyle="1" w:styleId="DocumentLabel">
    <w:name w:val="Document Label"/>
    <w:basedOn w:val="TitleCover"/>
    <w:autoRedefine/>
    <w:rPr>
      <w:sz w:val="40"/>
    </w:rPr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autoRedefine/>
    <w:rsid w:val="00BE4563"/>
    <w:pPr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56"/>
      </w:tabs>
    </w:pPr>
    <w:rPr>
      <w:b/>
      <w:color w:val="031F73" w:themeColor="text2"/>
      <w:sz w:val="16"/>
      <w:szCs w:val="16"/>
    </w:rPr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aliases w:val="(NECG) Footnote Reference"/>
    <w:rsid w:val="00AC1FE3"/>
    <w:rPr>
      <w:rFonts w:ascii="Arial" w:hAnsi="Arial"/>
      <w:sz w:val="18"/>
      <w:bdr w:val="none" w:sz="0" w:space="0" w:color="auto"/>
      <w:vertAlign w:val="superscript"/>
    </w:rPr>
  </w:style>
  <w:style w:type="paragraph" w:styleId="FootnoteText">
    <w:name w:val="footnote text"/>
    <w:aliases w:val="(NECG) Footnote Text,ALTS FOOTNOTE,(NECG) Footnote Text1,(NECG) Footnote Text2,(NECG) Footnote Text3,(NECG) Footnote Text4,(NECG) Footnote Text5,(NECG) Footnote Text6,(NECG) Footnote Text7,(NECG) Footnote Text8"/>
    <w:basedOn w:val="FootnoteBase"/>
    <w:link w:val="FootnoteTextChar"/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autoRedefine/>
    <w:pPr>
      <w:numPr>
        <w:numId w:val="1"/>
      </w:numPr>
      <w:tabs>
        <w:tab w:val="clear" w:pos="1440"/>
      </w:tabs>
      <w:ind w:left="680" w:hanging="680"/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autoRedefine/>
    <w:pPr>
      <w:shd w:val="clear" w:color="auto" w:fill="E0E0E0"/>
      <w:spacing w:before="60"/>
      <w:jc w:val="center"/>
    </w:pPr>
    <w:rPr>
      <w:rFonts w:ascii="Arial Bold" w:hAnsi="Arial Bold"/>
      <w:b/>
      <w:sz w:val="20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sid w:val="000158A5"/>
    <w:rPr>
      <w:rFonts w:ascii="Arial Black" w:hAnsi="Arial Black"/>
      <w:color w:val="auto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SubtitleCover">
    <w:name w:val="Subtitle Cover"/>
    <w:basedOn w:val="Normal"/>
    <w:next w:val="BodyText"/>
    <w:autoRedefine/>
    <w:rsid w:val="00BA554A"/>
    <w:rPr>
      <w:rFonts w:cs="Arial"/>
      <w:b/>
      <w:bCs/>
      <w:color w:val="0000FF"/>
      <w:sz w:val="40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8B77C1"/>
    <w:pPr>
      <w:tabs>
        <w:tab w:val="right" w:leader="dot" w:pos="6480"/>
      </w:tabs>
      <w:spacing w:after="240" w:line="240" w:lineRule="atLeast"/>
    </w:pPr>
    <w:rPr>
      <w:sz w:val="20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uiPriority w:val="39"/>
    <w:rsid w:val="006B42FF"/>
    <w:pPr>
      <w:tabs>
        <w:tab w:val="clear" w:pos="6480"/>
        <w:tab w:val="left" w:pos="851"/>
        <w:tab w:val="right" w:leader="dot" w:pos="9356"/>
      </w:tabs>
      <w:spacing w:after="120"/>
    </w:pPr>
    <w:rPr>
      <w:b/>
      <w:spacing w:val="0"/>
    </w:rPr>
  </w:style>
  <w:style w:type="paragraph" w:styleId="TOC2">
    <w:name w:val="toc 2"/>
    <w:basedOn w:val="TOCBase"/>
    <w:autoRedefine/>
    <w:uiPriority w:val="39"/>
    <w:rsid w:val="008B77C1"/>
    <w:pPr>
      <w:tabs>
        <w:tab w:val="clear" w:pos="6480"/>
        <w:tab w:val="left" w:pos="851"/>
        <w:tab w:val="right" w:leader="dot" w:pos="9356"/>
      </w:tabs>
      <w:spacing w:after="120"/>
      <w:ind w:left="851" w:hanging="851"/>
    </w:pPr>
  </w:style>
  <w:style w:type="paragraph" w:styleId="TOC3">
    <w:name w:val="toc 3"/>
    <w:basedOn w:val="TOCBase"/>
    <w:autoRedefine/>
    <w:semiHidden/>
    <w:pPr>
      <w:tabs>
        <w:tab w:val="clear" w:pos="6480"/>
        <w:tab w:val="left" w:pos="1134"/>
        <w:tab w:val="right" w:leader="dot" w:pos="9356"/>
      </w:tabs>
      <w:ind w:left="1134" w:hanging="1134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customStyle="1" w:styleId="TOCEntry">
    <w:name w:val="TOC Entry"/>
    <w:basedOn w:val="Normal"/>
    <w:pPr>
      <w:spacing w:before="60" w:after="60"/>
      <w:outlineLvl w:val="0"/>
    </w:pPr>
    <w:rPr>
      <w:rFonts w:eastAsia="Arial Unicode MS"/>
      <w:b/>
      <w:spacing w:val="0"/>
      <w:sz w:val="28"/>
    </w:rPr>
  </w:style>
  <w:style w:type="paragraph" w:customStyle="1" w:styleId="TOCAppendix">
    <w:name w:val="TOC Appendix"/>
    <w:basedOn w:val="TOC1"/>
    <w:autoRedefine/>
    <w:pPr>
      <w:tabs>
        <w:tab w:val="clear" w:pos="851"/>
        <w:tab w:val="left" w:pos="1701"/>
        <w:tab w:val="right" w:leader="dot" w:pos="8789"/>
      </w:tabs>
      <w:ind w:left="1701" w:hanging="1701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Strategy">
    <w:name w:val="Strategy"/>
    <w:basedOn w:val="Normal"/>
    <w:rsid w:val="000158A5"/>
    <w:pPr>
      <w:numPr>
        <w:numId w:val="5"/>
      </w:numPr>
      <w:shd w:val="clear" w:color="auto" w:fill="E0E0E0"/>
    </w:pPr>
    <w:rPr>
      <w:sz w:val="20"/>
    </w:rPr>
  </w:style>
  <w:style w:type="paragraph" w:customStyle="1" w:styleId="Strategy2">
    <w:name w:val="Strategy 2"/>
    <w:basedOn w:val="Normal"/>
    <w:rsid w:val="00E72516"/>
    <w:pPr>
      <w:numPr>
        <w:numId w:val="6"/>
      </w:numPr>
      <w:shd w:val="clear" w:color="auto" w:fill="E0E0E0"/>
      <w:ind w:left="1440"/>
    </w:pPr>
  </w:style>
  <w:style w:type="paragraph" w:customStyle="1" w:styleId="StrategyAMS">
    <w:name w:val="Strategy AMS"/>
    <w:basedOn w:val="Strategy"/>
    <w:rsid w:val="00697A3B"/>
  </w:style>
  <w:style w:type="paragraph" w:customStyle="1" w:styleId="CaptionCentred">
    <w:name w:val="Caption Centred"/>
    <w:basedOn w:val="SectionLabel"/>
    <w:rsid w:val="008B77C1"/>
    <w:pPr>
      <w:pBdr>
        <w:bottom w:val="none" w:sz="0" w:space="0" w:color="auto"/>
      </w:pBdr>
      <w:spacing w:before="120" w:after="120"/>
      <w:jc w:val="center"/>
    </w:pPr>
    <w:rPr>
      <w:rFonts w:ascii="Arial" w:hAnsi="Arial"/>
      <w:spacing w:val="0"/>
      <w:sz w:val="18"/>
    </w:rPr>
  </w:style>
  <w:style w:type="character" w:customStyle="1" w:styleId="FootnoteTextChar">
    <w:name w:val="Footnote Text Char"/>
    <w:aliases w:val="(NECG) Footnote Text Char,ALTS FOOTNOTE Char,(NECG) Footnote Text1 Char,(NECG) Footnote Text2 Char,(NECG) Footnote Text3 Char,(NECG) Footnote Text4 Char,(NECG) Footnote Text5 Char,(NECG) Footnote Text6 Char,(NECG) Footnote Text7 Char"/>
    <w:link w:val="FootnoteText"/>
    <w:rsid w:val="006B42FF"/>
    <w:rPr>
      <w:rFonts w:ascii="Arial" w:hAnsi="Arial"/>
      <w:spacing w:val="-5"/>
      <w:sz w:val="16"/>
      <w:lang w:eastAsia="en-US"/>
    </w:rPr>
  </w:style>
  <w:style w:type="table" w:styleId="TableGrid">
    <w:name w:val="Table Grid"/>
    <w:basedOn w:val="TableNormal"/>
    <w:rsid w:val="006B42FF"/>
    <w:pPr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42FF"/>
    <w:pPr>
      <w:ind w:left="720"/>
      <w:jc w:val="left"/>
    </w:pPr>
    <w:rPr>
      <w:rFonts w:eastAsia="Calibri" w:cs="Arial"/>
      <w:spacing w:val="0"/>
      <w:szCs w:val="22"/>
      <w:lang w:eastAsia="en-AU"/>
    </w:rPr>
  </w:style>
  <w:style w:type="paragraph" w:customStyle="1" w:styleId="AboutSPHeadings">
    <w:name w:val="About SP Headings"/>
    <w:basedOn w:val="Normal"/>
    <w:next w:val="Normal"/>
    <w:rsid w:val="006B42FF"/>
    <w:rPr>
      <w:b/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6B42FF"/>
    <w:pPr>
      <w:ind w:left="567" w:right="567"/>
    </w:pPr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B42FF"/>
    <w:rPr>
      <w:rFonts w:ascii="Arial" w:hAnsi="Arial"/>
      <w:i/>
      <w:iCs/>
      <w:color w:val="000000"/>
      <w:spacing w:val="-5"/>
      <w:lang w:eastAsia="en-US"/>
    </w:rPr>
  </w:style>
  <w:style w:type="paragraph" w:customStyle="1" w:styleId="Listbullet1">
    <w:name w:val="List bullet 1"/>
    <w:basedOn w:val="BodyText"/>
    <w:link w:val="Listbullet1Char"/>
    <w:qFormat/>
    <w:rsid w:val="006B42FF"/>
    <w:pPr>
      <w:tabs>
        <w:tab w:val="num" w:pos="27"/>
        <w:tab w:val="num" w:pos="1134"/>
      </w:tabs>
      <w:spacing w:before="120" w:after="120"/>
      <w:ind w:left="851" w:right="34" w:hanging="284"/>
      <w:jc w:val="left"/>
    </w:pPr>
    <w:rPr>
      <w:rFonts w:cstheme="minorHAnsi"/>
      <w:color w:val="000000"/>
      <w:sz w:val="22"/>
      <w:szCs w:val="22"/>
      <w:lang w:eastAsia="en-AU"/>
    </w:rPr>
  </w:style>
  <w:style w:type="character" w:customStyle="1" w:styleId="Listbullet1Char">
    <w:name w:val="List bullet 1 Char"/>
    <w:basedOn w:val="DefaultParagraphFont"/>
    <w:link w:val="Listbullet1"/>
    <w:rsid w:val="006B42FF"/>
    <w:rPr>
      <w:rFonts w:ascii="Arial" w:hAnsi="Arial" w:cstheme="minorHAnsi"/>
      <w:color w:val="000000"/>
      <w:spacing w:val="-5"/>
      <w:sz w:val="22"/>
      <w:szCs w:val="22"/>
    </w:rPr>
  </w:style>
  <w:style w:type="paragraph" w:customStyle="1" w:styleId="TableHeading">
    <w:name w:val="Table Heading"/>
    <w:link w:val="TableHeadingChar"/>
    <w:rsid w:val="006B42FF"/>
    <w:pPr>
      <w:keepNext/>
      <w:keepLines/>
      <w:spacing w:before="120" w:after="120"/>
      <w:jc w:val="center"/>
    </w:pPr>
    <w:rPr>
      <w:rFonts w:ascii="Arial" w:hAnsi="Arial"/>
      <w:b/>
      <w:color w:val="000080"/>
      <w:spacing w:val="-5"/>
      <w:lang w:eastAsia="en-US"/>
    </w:rPr>
  </w:style>
  <w:style w:type="character" w:customStyle="1" w:styleId="TableHeadingChar">
    <w:name w:val="Table Heading Char"/>
    <w:basedOn w:val="DefaultParagraphFont"/>
    <w:link w:val="TableHeading"/>
    <w:rsid w:val="006B42FF"/>
    <w:rPr>
      <w:rFonts w:ascii="Arial" w:hAnsi="Arial"/>
      <w:b/>
      <w:color w:val="000080"/>
      <w:spacing w:val="-5"/>
      <w:lang w:eastAsia="en-US"/>
    </w:rPr>
  </w:style>
  <w:style w:type="paragraph" w:customStyle="1" w:styleId="Tabletext0">
    <w:name w:val="Table text"/>
    <w:rsid w:val="006B42FF"/>
    <w:pPr>
      <w:spacing w:before="60" w:after="60"/>
    </w:pPr>
    <w:rPr>
      <w:rFonts w:ascii="Arial" w:hAnsi="Arial"/>
      <w:lang w:eastAsia="en-US"/>
    </w:rPr>
  </w:style>
  <w:style w:type="paragraph" w:customStyle="1" w:styleId="Bullets">
    <w:name w:val="Bullets"/>
    <w:basedOn w:val="Normal"/>
    <w:rsid w:val="006B42FF"/>
    <w:pPr>
      <w:numPr>
        <w:numId w:val="8"/>
      </w:numPr>
    </w:pPr>
    <w:rPr>
      <w:spacing w:val="0"/>
      <w:szCs w:val="24"/>
      <w:lang w:eastAsia="en-AU"/>
    </w:rPr>
  </w:style>
  <w:style w:type="paragraph" w:customStyle="1" w:styleId="QuoteNos">
    <w:name w:val="Quote Nos"/>
    <w:basedOn w:val="Normal"/>
    <w:link w:val="QuoteNosChar"/>
    <w:rsid w:val="006B42FF"/>
    <w:pPr>
      <w:ind w:left="720" w:right="567"/>
    </w:pPr>
    <w:rPr>
      <w:i/>
      <w:spacing w:val="0"/>
      <w:sz w:val="20"/>
      <w:vertAlign w:val="superscript"/>
      <w:lang w:eastAsia="en-AU"/>
    </w:rPr>
  </w:style>
  <w:style w:type="character" w:customStyle="1" w:styleId="QuoteNosChar">
    <w:name w:val="Quote Nos Char"/>
    <w:basedOn w:val="DefaultParagraphFont"/>
    <w:link w:val="QuoteNos"/>
    <w:rsid w:val="006B42FF"/>
    <w:rPr>
      <w:rFonts w:ascii="Arial" w:hAnsi="Arial"/>
      <w:i/>
      <w:vertAlign w:val="superscript"/>
    </w:rPr>
  </w:style>
  <w:style w:type="paragraph" w:customStyle="1" w:styleId="QuotesBullets">
    <w:name w:val="Quotes Bullets"/>
    <w:basedOn w:val="Normal"/>
    <w:link w:val="QuotesBulletsCharChar"/>
    <w:rsid w:val="006B42FF"/>
    <w:pPr>
      <w:numPr>
        <w:numId w:val="9"/>
      </w:numPr>
      <w:ind w:right="567"/>
    </w:pPr>
    <w:rPr>
      <w:i/>
      <w:iCs/>
      <w:spacing w:val="0"/>
      <w:sz w:val="20"/>
      <w:lang w:eastAsia="en-AU"/>
    </w:rPr>
  </w:style>
  <w:style w:type="character" w:customStyle="1" w:styleId="QuotesBulletsCharChar">
    <w:name w:val="Quotes Bullets Char Char"/>
    <w:basedOn w:val="DefaultParagraphFont"/>
    <w:link w:val="QuotesBullets"/>
    <w:rsid w:val="006B42FF"/>
    <w:rPr>
      <w:rFonts w:ascii="Arial" w:hAnsi="Arial"/>
      <w:i/>
      <w:iCs/>
    </w:rPr>
  </w:style>
  <w:style w:type="paragraph" w:customStyle="1" w:styleId="TableandFigureSources">
    <w:name w:val="Table and Figure Sources"/>
    <w:basedOn w:val="Normal"/>
    <w:rsid w:val="006B42FF"/>
    <w:rPr>
      <w:i/>
      <w:spacing w:val="0"/>
      <w:sz w:val="16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86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Bullet">
    <w:name w:val="Bullet"/>
    <w:basedOn w:val="ListParagraph"/>
    <w:link w:val="BulletChar"/>
    <w:qFormat/>
    <w:rsid w:val="00AF2C0D"/>
    <w:pPr>
      <w:numPr>
        <w:numId w:val="21"/>
      </w:numPr>
      <w:ind w:left="357" w:hanging="357"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C0D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ind w:left="0"/>
    </w:pPr>
    <w:rPr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C0D"/>
    <w:rPr>
      <w:rFonts w:ascii="Arial" w:eastAsia="Calibri" w:hAnsi="Arial" w:cs="Arial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AF2C0D"/>
    <w:rPr>
      <w:rFonts w:ascii="Arial" w:eastAsia="Calibri" w:hAnsi="Arial" w:cs="Arial"/>
      <w:sz w:val="22"/>
      <w:szCs w:val="22"/>
    </w:rPr>
  </w:style>
  <w:style w:type="character" w:customStyle="1" w:styleId="FootnoteBaseChar">
    <w:name w:val="Footnote Base Char"/>
    <w:basedOn w:val="DefaultParagraphFont"/>
    <w:link w:val="FootnoteBase"/>
    <w:rsid w:val="00AF2C0D"/>
    <w:rPr>
      <w:rFonts w:ascii="Arial" w:hAnsi="Arial"/>
      <w:spacing w:val="-5"/>
      <w:sz w:val="16"/>
      <w:lang w:eastAsia="en-US"/>
    </w:rPr>
  </w:style>
  <w:style w:type="character" w:customStyle="1" w:styleId="CommentTextChar">
    <w:name w:val="Comment Text Char"/>
    <w:basedOn w:val="FootnoteBaseChar"/>
    <w:link w:val="CommentText"/>
    <w:semiHidden/>
    <w:rsid w:val="00AF2C0D"/>
    <w:rPr>
      <w:rFonts w:ascii="Arial" w:hAnsi="Arial"/>
      <w:spacing w:val="-5"/>
      <w:sz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C0D"/>
    <w:rPr>
      <w:rFonts w:ascii="Arial" w:hAnsi="Arial"/>
      <w:b/>
      <w:bCs/>
      <w:spacing w:val="-5"/>
      <w:sz w:val="22"/>
      <w:lang w:eastAsia="en-US"/>
    </w:rPr>
  </w:style>
  <w:style w:type="paragraph" w:styleId="Revision">
    <w:name w:val="Revision"/>
    <w:hidden/>
    <w:uiPriority w:val="99"/>
    <w:semiHidden/>
    <w:rsid w:val="001037CD"/>
    <w:rPr>
      <w:rFonts w:ascii="Arial" w:hAnsi="Arial"/>
      <w:spacing w:val="-5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AusNet%20Services\Report%20Template.dotx" TargetMode="External"/></Relationships>
</file>

<file path=word/theme/theme1.xml><?xml version="1.0" encoding="utf-8"?>
<a:theme xmlns:a="http://schemas.openxmlformats.org/drawingml/2006/main" name="AusNet Services Theme">
  <a:themeElements>
    <a:clrScheme name="AusNet Services Excel">
      <a:dk1>
        <a:sysClr val="windowText" lastClr="000000"/>
      </a:dk1>
      <a:lt1>
        <a:sysClr val="window" lastClr="FFFFFF"/>
      </a:lt1>
      <a:dk2>
        <a:srgbClr val="031F73"/>
      </a:dk2>
      <a:lt2>
        <a:srgbClr val="BCBEC0"/>
      </a:lt2>
      <a:accent1>
        <a:srgbClr val="363594"/>
      </a:accent1>
      <a:accent2>
        <a:srgbClr val="3EB08E"/>
      </a:accent2>
      <a:accent3>
        <a:srgbClr val="CDDC29"/>
      </a:accent3>
      <a:accent4>
        <a:srgbClr val="0864B0"/>
      </a:accent4>
      <a:accent5>
        <a:srgbClr val="8DC63F"/>
      </a:accent5>
      <a:accent6>
        <a:srgbClr val="188CCC"/>
      </a:accent6>
      <a:hlink>
        <a:srgbClr val="031F73"/>
      </a:hlink>
      <a:folHlink>
        <a:srgbClr val="646464"/>
      </a:folHlink>
    </a:clrScheme>
    <a:fontScheme name="CH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4</Value>
    </TaxCatchAll>
    <AEMODescription xmlns="a14523ce-dede-483e-883a-2d83261080bd" xsi:nil="true"/>
    <_dlc_DocId xmlns="a14523ce-dede-483e-883a-2d83261080bd">TRANP-6-1543</_dlc_DocId>
    <_dlc_DocIdUrl xmlns="a14523ce-dede-483e-883a-2d83261080bd">
      <Url>http://sharedocs/sites/tp/_layouts/15/DocIdRedir.aspx?ID=TRANP-6-1543</Url>
      <Description>TRANP-6-1543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31EEAB7BC8C62B43860AAC4338686F6A" ma:contentTypeVersion="18" ma:contentTypeDescription="" ma:contentTypeScope="" ma:versionID="8f49f1c015831ee64dbe75bc28ea5474">
  <xsd:schema xmlns:xsd="http://www.w3.org/2001/XMLSchema" xmlns:xs="http://www.w3.org/2001/XMLSchema" xmlns:p="http://schemas.microsoft.com/office/2006/metadata/properties" xmlns:ns2="a14523ce-dede-483e-883a-2d83261080bd" xmlns:ns3="http://schemas.microsoft.com/sharepoint/v4" targetNamespace="http://schemas.microsoft.com/office/2006/metadata/properties" ma:root="true" ma:fieldsID="f3976f6ca7691f713616c604d5e338ae" ns2:_="" ns3:_="">
    <xsd:import namespace="a14523ce-dede-483e-883a-2d83261080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4e0cc18-3c0a-480f-87c6-8027c602dbc6}" ma:internalName="TaxCatchAll" ma:showField="CatchAllData" ma:web="835300b2-97a7-4530-982a-4f02771d3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4e0cc18-3c0a-480f-87c6-8027c602dbc6}" ma:internalName="TaxCatchAllLabel" ma:readOnly="true" ma:showField="CatchAllDataLabel" ma:web="835300b2-97a7-4530-982a-4f02771d3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4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/sites/tp/sd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93477AF-2715-4B7E-9AED-255C8C18D21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506B8BD-BDC7-4C16-8CC2-BB05E632710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0853CB-D3C0-4CB6-B82B-A92373436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35885-D919-49CB-98A6-1075462989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6B92E1-16B2-431C-B651-82CA167F93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CED775-8773-4D2C-829D-8E55079571E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D2B0DBF-96D1-4BEF-A393-4A81A065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</Template>
  <TotalTime>0</TotalTime>
  <Pages>9</Pages>
  <Words>2690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AusNet Services Report Template</vt:lpstr>
    </vt:vector>
  </TitlesOfParts>
  <Company>SP AusNet</Company>
  <LinksUpToDate>false</LinksUpToDate>
  <CharactersWithSpaces>18636</CharactersWithSpaces>
  <SharedDoc>false</SharedDoc>
  <HLinks>
    <vt:vector size="48" baseType="variant"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_Toc318098662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_Toc318098661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_Toc318098660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_Toc318098659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_Toc318098658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_Toc318098657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_Toc318098656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AusNet Services Report Template</dc:title>
  <dc:creator>Diane Holland</dc:creator>
  <cp:lastModifiedBy>Lee Richardson</cp:lastModifiedBy>
  <cp:revision>4</cp:revision>
  <cp:lastPrinted>2015-02-24T02:06:00Z</cp:lastPrinted>
  <dcterms:created xsi:type="dcterms:W3CDTF">2015-09-04T01:40:00Z</dcterms:created>
  <dcterms:modified xsi:type="dcterms:W3CDTF">2018-05-25T00:28:00Z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ContentTypeId">
    <vt:lpwstr>0x0101009BE89D58CAF0934CA32A20BCFFD353DC0031EEAB7BC8C62B43860AAC4338686F6A</vt:lpwstr>
  </property>
  <property fmtid="{D5CDD505-2E9C-101B-9397-08002B2CF9AE}" pid="6" name="_dlc_DocIdItemGuid">
    <vt:lpwstr>433ea079-1f62-4c57-bcf7-ff15ce596dd3</vt:lpwstr>
  </property>
  <property fmtid="{D5CDD505-2E9C-101B-9397-08002B2CF9AE}" pid="7" name="AEMODocumentType">
    <vt:lpwstr>4;#Operational Record|859762f2-4462-42eb-9744-c955c7e2c540</vt:lpwstr>
  </property>
  <property fmtid="{D5CDD505-2E9C-101B-9397-08002B2CF9AE}" pid="8" name="AEMOKeywords">
    <vt:lpwstr/>
  </property>
</Properties>
</file>