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0E9B7" w14:textId="0BD5DFEB" w:rsidR="00110745" w:rsidRDefault="001D477E" w:rsidP="00110745">
      <w:pPr>
        <w:pStyle w:val="Statement"/>
        <w:rPr>
          <w:lang w:val="en-GB" w:eastAsia="en-AU"/>
        </w:rPr>
      </w:pPr>
      <w:r>
        <w:rPr>
          <w:lang w:val="en-GB" w:eastAsia="en-AU"/>
        </w:rPr>
        <w:t xml:space="preserve">This template </w:t>
      </w:r>
      <w:r w:rsidRPr="001D477E">
        <w:rPr>
          <w:lang w:val="en-GB" w:eastAsia="en-AU"/>
        </w:rPr>
        <w:t>has been prepared by AEMO’s Victorian Connections team</w:t>
      </w:r>
      <w:r w:rsidR="00223234">
        <w:rPr>
          <w:lang w:val="en-GB" w:eastAsia="en-AU"/>
        </w:rPr>
        <w:t>. It</w:t>
      </w:r>
      <w:r w:rsidRPr="001D477E">
        <w:rPr>
          <w:lang w:val="en-GB" w:eastAsia="en-AU"/>
        </w:rPr>
        <w:t xml:space="preserve"> provide</w:t>
      </w:r>
      <w:r w:rsidR="00223234">
        <w:rPr>
          <w:lang w:val="en-GB" w:eastAsia="en-AU"/>
        </w:rPr>
        <w:t>s</w:t>
      </w:r>
      <w:r w:rsidRPr="001D477E">
        <w:rPr>
          <w:lang w:val="en-GB" w:eastAsia="en-AU"/>
        </w:rPr>
        <w:t xml:space="preserve"> guidance to Applicants </w:t>
      </w:r>
      <w:r>
        <w:rPr>
          <w:lang w:val="en-GB" w:eastAsia="en-AU"/>
        </w:rPr>
        <w:t>on the minimum Customer performance standards information required as part of</w:t>
      </w:r>
      <w:r w:rsidR="00195185">
        <w:rPr>
          <w:lang w:val="en-GB" w:eastAsia="en-AU"/>
        </w:rPr>
        <w:t xml:space="preserve"> a</w:t>
      </w:r>
      <w:r>
        <w:rPr>
          <w:lang w:val="en-GB" w:eastAsia="en-AU"/>
        </w:rPr>
        <w:t xml:space="preserve"> customer connection application. Please complete the following tables and submit this document as part of your connection application. </w:t>
      </w:r>
    </w:p>
    <w:p w14:paraId="5BDC0812" w14:textId="03CDB1F5" w:rsidR="00E43AD3" w:rsidRDefault="00E43AD3" w:rsidP="00E43AD3">
      <w:pPr>
        <w:pStyle w:val="Heading2"/>
        <w:numPr>
          <w:ilvl w:val="0"/>
          <w:numId w:val="0"/>
        </w:numPr>
        <w:rPr>
          <w:b/>
          <w:bCs w:val="0"/>
          <w:color w:val="C41230" w:themeColor="accent1"/>
          <w:lang w:val="en-GB" w:eastAsia="en-AU"/>
        </w:rPr>
      </w:pPr>
      <w:r w:rsidRPr="00E43AD3">
        <w:rPr>
          <w:b/>
          <w:bCs w:val="0"/>
          <w:color w:val="C41230" w:themeColor="accent1"/>
          <w:lang w:val="en-GB" w:eastAsia="en-AU"/>
        </w:rPr>
        <w:t>CONNECTION INFORMATION</w:t>
      </w:r>
    </w:p>
    <w:tbl>
      <w:tblPr>
        <w:tblStyle w:val="AEMO3"/>
        <w:tblW w:w="0" w:type="auto"/>
        <w:tblLook w:val="0480" w:firstRow="0" w:lastRow="0" w:firstColumn="1" w:lastColumn="0" w:noHBand="0" w:noVBand="1"/>
      </w:tblPr>
      <w:tblGrid>
        <w:gridCol w:w="5381"/>
        <w:gridCol w:w="5381"/>
      </w:tblGrid>
      <w:tr w:rsidR="00223234" w14:paraId="502D66EF" w14:textId="77777777" w:rsidTr="001A3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07514E18" w14:textId="77777777" w:rsidR="00223234" w:rsidRPr="004F0BD0" w:rsidRDefault="00223234" w:rsidP="001A3364">
            <w:pPr>
              <w:pStyle w:val="BodyText"/>
              <w:rPr>
                <w:color w:val="FFFFFF" w:themeColor="background1"/>
                <w:lang w:val="en-GB" w:eastAsia="en-AU"/>
              </w:rPr>
            </w:pPr>
            <w:r w:rsidRPr="004F0BD0">
              <w:rPr>
                <w:color w:val="FFFFFF" w:themeColor="background1"/>
                <w:lang w:val="en-GB" w:eastAsia="en-AU"/>
              </w:rPr>
              <w:t>Site name</w:t>
            </w:r>
          </w:p>
        </w:tc>
        <w:tc>
          <w:tcPr>
            <w:tcW w:w="5381" w:type="dxa"/>
          </w:tcPr>
          <w:p w14:paraId="552D9156" w14:textId="77777777" w:rsidR="00223234" w:rsidRDefault="00223234" w:rsidP="001A3364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</w:p>
        </w:tc>
      </w:tr>
      <w:tr w:rsidR="00E43AD3" w14:paraId="1C2D3F62" w14:textId="77777777" w:rsidTr="004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6AFC7F53" w14:textId="77777777" w:rsidR="00E43AD3" w:rsidRDefault="00E43AD3" w:rsidP="00E43AD3">
            <w:pPr>
              <w:pStyle w:val="BodyText"/>
              <w:rPr>
                <w:b w:val="0"/>
                <w:color w:val="FFFFFF" w:themeColor="background1"/>
                <w:lang w:val="en-GB" w:eastAsia="en-AU"/>
              </w:rPr>
            </w:pPr>
            <w:r w:rsidRPr="004F0BD0">
              <w:rPr>
                <w:color w:val="FFFFFF" w:themeColor="background1"/>
                <w:lang w:val="en-GB" w:eastAsia="en-AU"/>
              </w:rPr>
              <w:t>Name of intending or currently registered financially responsible market participant (FRMP)</w:t>
            </w:r>
          </w:p>
          <w:p w14:paraId="123F8CB6" w14:textId="0BE01851" w:rsidR="004F0BD0" w:rsidRPr="004F0BD0" w:rsidRDefault="004F0BD0" w:rsidP="00E43AD3">
            <w:pPr>
              <w:pStyle w:val="BodyText"/>
              <w:rPr>
                <w:color w:val="FFFFFF" w:themeColor="background1"/>
                <w:lang w:val="en-GB" w:eastAsia="en-AU"/>
              </w:rPr>
            </w:pPr>
            <w:r w:rsidRPr="00964A14">
              <w:rPr>
                <w:b w:val="0"/>
                <w:color w:val="FFFFFF" w:themeColor="background1"/>
                <w:sz w:val="14"/>
                <w:szCs w:val="14"/>
                <w:lang w:val="en-GB" w:eastAsia="en-AU"/>
              </w:rPr>
              <w:t>Full name e.g. The First Energy Company Pty Ltd (trading as Energy First)</w:t>
            </w:r>
          </w:p>
        </w:tc>
        <w:tc>
          <w:tcPr>
            <w:tcW w:w="5381" w:type="dxa"/>
          </w:tcPr>
          <w:p w14:paraId="2B05E4F4" w14:textId="08271907" w:rsidR="00E43AD3" w:rsidRDefault="00E43AD3" w:rsidP="00E43AD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 w:eastAsia="en-AU"/>
              </w:rPr>
            </w:pPr>
          </w:p>
        </w:tc>
      </w:tr>
      <w:tr w:rsidR="00E43AD3" w14:paraId="26D44E70" w14:textId="77777777" w:rsidTr="004F0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0EE544CF" w14:textId="05B24256" w:rsidR="00E43AD3" w:rsidRPr="004F0BD0" w:rsidRDefault="00E43AD3" w:rsidP="00E43AD3">
            <w:pPr>
              <w:pStyle w:val="BodyText"/>
              <w:rPr>
                <w:color w:val="FFFFFF" w:themeColor="background1"/>
                <w:lang w:val="en-GB" w:eastAsia="en-AU"/>
              </w:rPr>
            </w:pPr>
            <w:r w:rsidRPr="004F0BD0">
              <w:rPr>
                <w:color w:val="FFFFFF" w:themeColor="background1"/>
                <w:lang w:val="en-GB" w:eastAsia="en-AU"/>
              </w:rPr>
              <w:t>Network service provider</w:t>
            </w:r>
          </w:p>
        </w:tc>
        <w:tc>
          <w:tcPr>
            <w:tcW w:w="5381" w:type="dxa"/>
          </w:tcPr>
          <w:p w14:paraId="0C8D6124" w14:textId="5EF7D5D7" w:rsidR="00E43AD3" w:rsidRDefault="00E43AD3" w:rsidP="00E43A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</w:p>
        </w:tc>
      </w:tr>
      <w:tr w:rsidR="00E43AD3" w14:paraId="58E317B8" w14:textId="77777777" w:rsidTr="004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1932247F" w14:textId="2594EE91" w:rsidR="00E43AD3" w:rsidRPr="004F0BD0" w:rsidRDefault="004F0BD0" w:rsidP="00E43AD3">
            <w:pPr>
              <w:pStyle w:val="BodyText"/>
              <w:rPr>
                <w:color w:val="FFFFFF" w:themeColor="background1"/>
                <w:lang w:val="en-GB" w:eastAsia="en-AU"/>
              </w:rPr>
            </w:pPr>
            <w:r w:rsidRPr="004F0BD0">
              <w:rPr>
                <w:color w:val="FFFFFF" w:themeColor="background1"/>
                <w:lang w:val="en-GB" w:eastAsia="en-AU"/>
              </w:rPr>
              <w:t xml:space="preserve">Proposed transmission network </w:t>
            </w:r>
            <w:r w:rsidRPr="00FC16F4">
              <w:rPr>
                <w:i/>
                <w:iCs/>
                <w:color w:val="FFFFFF" w:themeColor="background1"/>
                <w:lang w:val="en-GB" w:eastAsia="en-AU"/>
              </w:rPr>
              <w:t>connection point</w:t>
            </w:r>
          </w:p>
        </w:tc>
        <w:tc>
          <w:tcPr>
            <w:tcW w:w="5381" w:type="dxa"/>
          </w:tcPr>
          <w:p w14:paraId="33AEEDBC" w14:textId="2798357A" w:rsidR="00E43AD3" w:rsidRDefault="00E43AD3" w:rsidP="00E43AD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 w:eastAsia="en-AU"/>
              </w:rPr>
            </w:pPr>
          </w:p>
        </w:tc>
      </w:tr>
      <w:tr w:rsidR="00E43AD3" w14:paraId="0A462B37" w14:textId="77777777" w:rsidTr="004F0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1B11C031" w14:textId="55BE3642" w:rsidR="00E43AD3" w:rsidRPr="004F0BD0" w:rsidRDefault="004F0BD0" w:rsidP="00E43AD3">
            <w:pPr>
              <w:pStyle w:val="BodyText"/>
              <w:rPr>
                <w:color w:val="FFFFFF" w:themeColor="background1"/>
                <w:lang w:val="en-GB" w:eastAsia="en-AU"/>
              </w:rPr>
            </w:pPr>
            <w:r w:rsidRPr="004F0BD0">
              <w:rPr>
                <w:color w:val="FFFFFF" w:themeColor="background1"/>
                <w:lang w:val="en-GB" w:eastAsia="en-AU"/>
              </w:rPr>
              <w:t>Connection point voltage</w:t>
            </w:r>
          </w:p>
        </w:tc>
        <w:sdt>
          <w:sdtPr>
            <w:rPr>
              <w:lang w:val="en-GB" w:eastAsia="en-AU"/>
            </w:rPr>
            <w:id w:val="-1354414776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500 kV" w:value="500 kV"/>
              <w:listItem w:displayText="330 kV" w:value="330 kV"/>
              <w:listItem w:displayText="220 kV" w:value="220 kV"/>
              <w:listItem w:displayText="132 kV" w:value="132 kV"/>
              <w:listItem w:displayText="66 kV" w:value="66 kV"/>
            </w:dropDownList>
          </w:sdtPr>
          <w:sdtContent>
            <w:tc>
              <w:tcPr>
                <w:tcW w:w="5381" w:type="dxa"/>
              </w:tcPr>
              <w:p w14:paraId="1306E32F" w14:textId="23C5CF02" w:rsidR="00E43AD3" w:rsidRDefault="004F0BD0" w:rsidP="00E43AD3">
                <w:pPr>
                  <w:pStyle w:val="Body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 w:eastAsia="en-AU"/>
                  </w:rPr>
                </w:pPr>
                <w:r w:rsidRPr="00015C2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05B7C" w14:paraId="06FAF49C" w14:textId="77777777" w:rsidTr="004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2427D96F" w14:textId="069EE34E" w:rsidR="00005B7C" w:rsidRPr="004F0BD0" w:rsidRDefault="00005B7C" w:rsidP="00E43AD3">
            <w:pPr>
              <w:pStyle w:val="BodyText"/>
              <w:rPr>
                <w:color w:val="FFFFFF" w:themeColor="background1"/>
                <w:lang w:val="en-GB" w:eastAsia="en-AU"/>
              </w:rPr>
            </w:pPr>
            <w:r>
              <w:rPr>
                <w:color w:val="FFFFFF" w:themeColor="background1"/>
                <w:lang w:val="en-GB" w:eastAsia="en-AU"/>
              </w:rPr>
              <w:t>Customer load consumption</w:t>
            </w:r>
          </w:p>
        </w:tc>
        <w:tc>
          <w:tcPr>
            <w:tcW w:w="5381" w:type="dxa"/>
          </w:tcPr>
          <w:p w14:paraId="27CD3870" w14:textId="18005282" w:rsidR="00005B7C" w:rsidRDefault="009C39E7" w:rsidP="00E43AD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 w:eastAsia="en-AU"/>
              </w:rPr>
            </w:pPr>
            <w:r>
              <w:rPr>
                <w:lang w:val="en-GB" w:eastAsia="en-AU"/>
              </w:rPr>
              <w:t xml:space="preserve">           </w:t>
            </w:r>
            <w:r w:rsidR="00005B7C">
              <w:rPr>
                <w:lang w:val="en-GB" w:eastAsia="en-AU"/>
              </w:rPr>
              <w:t>MW</w:t>
            </w:r>
            <w:r w:rsidR="00FC16F4">
              <w:rPr>
                <w:lang w:val="en-GB" w:eastAsia="en-AU"/>
              </w:rPr>
              <w:t>/MVA</w:t>
            </w:r>
          </w:p>
        </w:tc>
      </w:tr>
      <w:tr w:rsidR="00B43213" w14:paraId="0D249C2E" w14:textId="77777777" w:rsidTr="004F0B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1C511715" w14:textId="4631B7D5" w:rsidR="00B43213" w:rsidRPr="004F0BD0" w:rsidRDefault="00B43213" w:rsidP="00E43AD3">
            <w:pPr>
              <w:pStyle w:val="BodyText"/>
              <w:rPr>
                <w:color w:val="FFFFFF" w:themeColor="background1"/>
                <w:lang w:val="en-GB" w:eastAsia="en-AU"/>
              </w:rPr>
            </w:pPr>
            <w:r>
              <w:rPr>
                <w:color w:val="FFFFFF" w:themeColor="background1"/>
                <w:lang w:val="en-GB" w:eastAsia="en-AU"/>
              </w:rPr>
              <w:t>Applicable NER Version</w:t>
            </w:r>
          </w:p>
        </w:tc>
        <w:tc>
          <w:tcPr>
            <w:tcW w:w="5381" w:type="dxa"/>
          </w:tcPr>
          <w:p w14:paraId="6DEF372D" w14:textId="77777777" w:rsidR="00B43213" w:rsidRDefault="00B43213" w:rsidP="00E43AD3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 w:eastAsia="en-AU"/>
              </w:rPr>
            </w:pPr>
          </w:p>
        </w:tc>
      </w:tr>
      <w:tr w:rsidR="00E43AD3" w14:paraId="5B76335F" w14:textId="77777777" w:rsidTr="004F0B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1" w:type="dxa"/>
          </w:tcPr>
          <w:p w14:paraId="0F48A363" w14:textId="77777777" w:rsidR="00E43AD3" w:rsidRDefault="004F0BD0" w:rsidP="00E43AD3">
            <w:pPr>
              <w:pStyle w:val="BodyText"/>
              <w:rPr>
                <w:b w:val="0"/>
                <w:color w:val="FFFFFF" w:themeColor="background1"/>
                <w:lang w:val="en-GB" w:eastAsia="en-AU"/>
              </w:rPr>
            </w:pPr>
            <w:r w:rsidRPr="004F0BD0">
              <w:rPr>
                <w:color w:val="FFFFFF" w:themeColor="background1"/>
                <w:lang w:val="en-GB" w:eastAsia="en-AU"/>
              </w:rPr>
              <w:t>Date of finalisation</w:t>
            </w:r>
          </w:p>
          <w:p w14:paraId="40F485BE" w14:textId="7CD074FE" w:rsidR="00223234" w:rsidRPr="00223234" w:rsidRDefault="00223234" w:rsidP="00E43AD3">
            <w:pPr>
              <w:pStyle w:val="BodyText"/>
              <w:rPr>
                <w:b w:val="0"/>
                <w:bCs w:val="0"/>
                <w:color w:val="FFFFFF" w:themeColor="background1"/>
                <w:lang w:val="en-GB" w:eastAsia="en-AU"/>
              </w:rPr>
            </w:pPr>
            <w:r w:rsidRPr="00223234">
              <w:rPr>
                <w:b w:val="0"/>
                <w:bCs w:val="0"/>
                <w:color w:val="FFFFFF" w:themeColor="background1"/>
                <w:sz w:val="14"/>
                <w:szCs w:val="14"/>
                <w:lang w:val="en-GB" w:eastAsia="en-AU"/>
              </w:rPr>
              <w:t>Date of agreed Performance Standards</w:t>
            </w:r>
          </w:p>
        </w:tc>
        <w:tc>
          <w:tcPr>
            <w:tcW w:w="5381" w:type="dxa"/>
          </w:tcPr>
          <w:p w14:paraId="7FBB9CAA" w14:textId="4B5A181D" w:rsidR="00E43AD3" w:rsidRDefault="00E43AD3" w:rsidP="00E43AD3">
            <w:pPr>
              <w:pStyle w:val="Body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 w:eastAsia="en-AU"/>
              </w:rPr>
            </w:pPr>
          </w:p>
        </w:tc>
      </w:tr>
    </w:tbl>
    <w:p w14:paraId="0D7E44EA" w14:textId="5B2D5A71" w:rsidR="004F0BD0" w:rsidRPr="004F0BD0" w:rsidRDefault="004F0BD0" w:rsidP="004F0BD0">
      <w:pPr>
        <w:pStyle w:val="Heading2"/>
        <w:numPr>
          <w:ilvl w:val="0"/>
          <w:numId w:val="0"/>
        </w:numPr>
        <w:rPr>
          <w:b/>
          <w:bCs w:val="0"/>
          <w:color w:val="C41230" w:themeColor="accent1"/>
          <w:lang w:val="en-GB" w:eastAsia="en-AU"/>
        </w:rPr>
      </w:pPr>
      <w:r w:rsidRPr="004F0BD0">
        <w:rPr>
          <w:b/>
          <w:bCs w:val="0"/>
          <w:color w:val="C41230" w:themeColor="accent1"/>
          <w:lang w:val="en-GB" w:eastAsia="en-AU"/>
        </w:rPr>
        <w:t>PERFORMANCE STANDARDS</w:t>
      </w:r>
    </w:p>
    <w:p w14:paraId="2F85BBAB" w14:textId="77777777" w:rsidR="00D04B65" w:rsidRDefault="004F0BD0" w:rsidP="004F0BD0">
      <w:pPr>
        <w:pStyle w:val="BodyText"/>
        <w:rPr>
          <w:lang w:val="en-GB" w:eastAsia="en-AU"/>
        </w:rPr>
      </w:pPr>
      <w:r w:rsidRPr="004F0BD0">
        <w:rPr>
          <w:lang w:val="en-GB" w:eastAsia="en-AU"/>
        </w:rPr>
        <w:t xml:space="preserve">The table </w:t>
      </w:r>
      <w:r w:rsidR="00B74AB1">
        <w:rPr>
          <w:lang w:val="en-GB" w:eastAsia="en-AU"/>
        </w:rPr>
        <w:t xml:space="preserve">below </w:t>
      </w:r>
      <w:r w:rsidRPr="004F0BD0">
        <w:rPr>
          <w:lang w:val="en-GB" w:eastAsia="en-AU"/>
        </w:rPr>
        <w:t xml:space="preserve">outlines the information </w:t>
      </w:r>
      <w:r w:rsidR="00E11139">
        <w:rPr>
          <w:lang w:val="en-GB" w:eastAsia="en-AU"/>
        </w:rPr>
        <w:t xml:space="preserve">that </w:t>
      </w:r>
      <w:r w:rsidRPr="00E11139">
        <w:rPr>
          <w:lang w:val="en-GB" w:eastAsia="en-AU"/>
        </w:rPr>
        <w:t>AEMO</w:t>
      </w:r>
      <w:r w:rsidR="00E11139" w:rsidRPr="00E11139">
        <w:rPr>
          <w:lang w:val="en-GB" w:eastAsia="en-AU"/>
        </w:rPr>
        <w:t>’s Victorian</w:t>
      </w:r>
      <w:r w:rsidR="00E11139">
        <w:rPr>
          <w:lang w:val="en-GB" w:eastAsia="en-AU"/>
        </w:rPr>
        <w:t xml:space="preserve"> Connections team</w:t>
      </w:r>
      <w:r w:rsidRPr="004F0BD0">
        <w:rPr>
          <w:lang w:val="en-GB" w:eastAsia="en-AU"/>
        </w:rPr>
        <w:t xml:space="preserve"> requires to assess compliance with the technical requirements set out in Chapter 5 of the National Electricity Rules (</w:t>
      </w:r>
      <w:r w:rsidR="00B74AB1">
        <w:rPr>
          <w:lang w:val="en-GB" w:eastAsia="en-AU"/>
        </w:rPr>
        <w:t>NER</w:t>
      </w:r>
      <w:r w:rsidRPr="004F0BD0">
        <w:rPr>
          <w:lang w:val="en-GB" w:eastAsia="en-AU"/>
        </w:rPr>
        <w:t xml:space="preserve">). </w:t>
      </w:r>
      <w:r w:rsidR="00B74AB1">
        <w:rPr>
          <w:lang w:val="en-GB" w:eastAsia="en-AU"/>
        </w:rPr>
        <w:t>Please c</w:t>
      </w:r>
      <w:r w:rsidRPr="004F0BD0">
        <w:rPr>
          <w:lang w:val="en-GB" w:eastAsia="en-AU"/>
        </w:rPr>
        <w:t xml:space="preserve">omplete the blanks in the table to describe how the facility complies with the Performance Standards set out in the </w:t>
      </w:r>
      <w:r w:rsidR="00B74AB1">
        <w:rPr>
          <w:lang w:val="en-GB" w:eastAsia="en-AU"/>
        </w:rPr>
        <w:t>NER</w:t>
      </w:r>
      <w:r w:rsidR="00D04B65">
        <w:rPr>
          <w:lang w:val="en-GB" w:eastAsia="en-AU"/>
        </w:rPr>
        <w:t>.</w:t>
      </w:r>
    </w:p>
    <w:p w14:paraId="0C74A982" w14:textId="4EEDA689" w:rsidR="00B74AB1" w:rsidRPr="00D04B65" w:rsidRDefault="00D04B65" w:rsidP="00D04B65">
      <w:pPr>
        <w:pStyle w:val="Heading6"/>
        <w:rPr>
          <w:lang w:eastAsia="en-AU"/>
        </w:rPr>
      </w:pPr>
      <w:r w:rsidRPr="00D04B65">
        <w:rPr>
          <w:lang w:eastAsia="en-AU"/>
        </w:rPr>
        <w:t>Please note:</w:t>
      </w:r>
      <w:r w:rsidR="00656AB4" w:rsidRPr="00D04B65">
        <w:rPr>
          <w:lang w:eastAsia="en-AU"/>
        </w:rPr>
        <w:t xml:space="preserve"> </w:t>
      </w:r>
    </w:p>
    <w:p w14:paraId="34A8C561" w14:textId="77777777" w:rsidR="00672FC0" w:rsidRDefault="00672FC0" w:rsidP="00672FC0">
      <w:pPr>
        <w:pStyle w:val="ListBullet"/>
        <w:rPr>
          <w:lang w:val="en-GB" w:eastAsia="en-AU"/>
        </w:rPr>
      </w:pPr>
      <w:r>
        <w:rPr>
          <w:lang w:val="en-GB" w:eastAsia="en-AU"/>
        </w:rPr>
        <w:t>S</w:t>
      </w:r>
      <w:r w:rsidR="004F0BD0" w:rsidRPr="004F0BD0">
        <w:rPr>
          <w:lang w:val="en-GB" w:eastAsia="en-AU"/>
        </w:rPr>
        <w:t xml:space="preserve">haded areas do not require completion. </w:t>
      </w:r>
    </w:p>
    <w:p w14:paraId="7CD2A672" w14:textId="77777777" w:rsidR="00672FC0" w:rsidRDefault="00672FC0" w:rsidP="00672FC0">
      <w:pPr>
        <w:pStyle w:val="ListBullet"/>
        <w:rPr>
          <w:lang w:val="en-GB" w:eastAsia="en-AU"/>
        </w:rPr>
      </w:pPr>
      <w:r w:rsidRPr="004F0BD0">
        <w:rPr>
          <w:lang w:val="en-GB" w:eastAsia="en-AU"/>
        </w:rPr>
        <w:t>For each item in the third column, provide a detailed description of the facility’s compliance with the requirement in the fourth column, again including values where applicable.</w:t>
      </w:r>
    </w:p>
    <w:p w14:paraId="72AB294C" w14:textId="77777777" w:rsidR="00672FC0" w:rsidRDefault="004F0BD0" w:rsidP="00672FC0">
      <w:pPr>
        <w:pStyle w:val="ListBullet"/>
        <w:rPr>
          <w:lang w:val="en-GB" w:eastAsia="en-AU"/>
        </w:rPr>
      </w:pPr>
      <w:r w:rsidRPr="004F0BD0">
        <w:rPr>
          <w:lang w:val="en-GB" w:eastAsia="en-AU"/>
        </w:rPr>
        <w:t xml:space="preserve">Indicate in the fifth column whether the facility meets automatic, </w:t>
      </w:r>
      <w:proofErr w:type="gramStart"/>
      <w:r w:rsidRPr="004F0BD0">
        <w:rPr>
          <w:lang w:val="en-GB" w:eastAsia="en-AU"/>
        </w:rPr>
        <w:t>negotiated</w:t>
      </w:r>
      <w:proofErr w:type="gramEnd"/>
      <w:r w:rsidRPr="004F0BD0">
        <w:rPr>
          <w:lang w:val="en-GB" w:eastAsia="en-AU"/>
        </w:rPr>
        <w:t xml:space="preserve"> or minimum Performance Standards by inserting the letter A, N or M respectively. </w:t>
      </w:r>
    </w:p>
    <w:p w14:paraId="2E1FDD31" w14:textId="5B30E65E" w:rsidR="00672FC0" w:rsidRDefault="004F0BD0" w:rsidP="00223234">
      <w:pPr>
        <w:pStyle w:val="ListBullet"/>
        <w:rPr>
          <w:lang w:val="en-GB" w:eastAsia="en-AU"/>
        </w:rPr>
      </w:pPr>
      <w:r w:rsidRPr="004F0BD0">
        <w:rPr>
          <w:lang w:val="en-GB" w:eastAsia="en-AU"/>
        </w:rPr>
        <w:t>Use the sixth column to provide a detailed description of the agreed access standard, including values where applicable.</w:t>
      </w:r>
    </w:p>
    <w:p w14:paraId="7E028015" w14:textId="2E3DCABC" w:rsidR="00B43213" w:rsidRDefault="00B43213" w:rsidP="00223234">
      <w:pPr>
        <w:pStyle w:val="ListBullet"/>
        <w:rPr>
          <w:lang w:val="en-GB" w:eastAsia="en-AU"/>
        </w:rPr>
      </w:pPr>
      <w:r>
        <w:rPr>
          <w:lang w:val="en-GB" w:eastAsia="en-AU"/>
        </w:rPr>
        <w:t xml:space="preserve">Terms written in </w:t>
      </w:r>
      <w:r w:rsidRPr="00DD0783">
        <w:rPr>
          <w:i/>
          <w:iCs/>
          <w:lang w:val="en-GB" w:eastAsia="en-AU"/>
        </w:rPr>
        <w:t>italics</w:t>
      </w:r>
      <w:r>
        <w:rPr>
          <w:lang w:val="en-GB" w:eastAsia="en-AU"/>
        </w:rPr>
        <w:t xml:space="preserve"> are defined in Chapter 10 of the NER.</w:t>
      </w:r>
    </w:p>
    <w:p w14:paraId="47240CAE" w14:textId="4F594103" w:rsidR="00B43213" w:rsidRPr="00223234" w:rsidRDefault="00B43213" w:rsidP="00DD0783">
      <w:pPr>
        <w:pStyle w:val="ListBullet"/>
        <w:numPr>
          <w:ilvl w:val="0"/>
          <w:numId w:val="0"/>
        </w:numPr>
        <w:ind w:left="284" w:hanging="284"/>
        <w:rPr>
          <w:lang w:val="en-GB" w:eastAsia="en-AU"/>
        </w:rPr>
        <w:sectPr w:rsidR="00B43213" w:rsidRPr="00223234" w:rsidSect="00110745">
          <w:headerReference w:type="default" r:id="rId11"/>
          <w:footerReference w:type="default" r:id="rId12"/>
          <w:pgSz w:w="11906" w:h="16838" w:code="9"/>
          <w:pgMar w:top="3595" w:right="567" w:bottom="1134" w:left="567" w:header="539" w:footer="284" w:gutter="0"/>
          <w:cols w:space="708"/>
          <w:docGrid w:linePitch="360"/>
        </w:sectPr>
      </w:pPr>
    </w:p>
    <w:tbl>
      <w:tblPr>
        <w:tblStyle w:val="TableGridLight"/>
        <w:tblW w:w="15304" w:type="dxa"/>
        <w:tblLook w:val="04A0" w:firstRow="1" w:lastRow="0" w:firstColumn="1" w:lastColumn="0" w:noHBand="0" w:noVBand="1"/>
      </w:tblPr>
      <w:tblGrid>
        <w:gridCol w:w="1271"/>
        <w:gridCol w:w="1985"/>
        <w:gridCol w:w="3260"/>
        <w:gridCol w:w="2551"/>
        <w:gridCol w:w="1701"/>
        <w:gridCol w:w="4536"/>
      </w:tblGrid>
      <w:tr w:rsidR="00B74AB1" w:rsidRPr="00B74AB1" w14:paraId="39FB64B0" w14:textId="77777777" w:rsidTr="00173F7C">
        <w:trPr>
          <w:trHeight w:val="458"/>
        </w:trPr>
        <w:tc>
          <w:tcPr>
            <w:tcW w:w="1271" w:type="dxa"/>
            <w:shd w:val="clear" w:color="auto" w:fill="82859C" w:themeFill="accent5"/>
          </w:tcPr>
          <w:p w14:paraId="5BF5DC32" w14:textId="0BBCBC1F" w:rsidR="00672FC0" w:rsidRPr="00B43213" w:rsidRDefault="00223234" w:rsidP="00223234">
            <w:pPr>
              <w:pStyle w:val="BodyText"/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lastRenderedPageBreak/>
              <w:t>NER</w:t>
            </w:r>
            <w:r w:rsidR="00672FC0"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t xml:space="preserve"> </w:t>
            </w: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t>REFERENCE</w:t>
            </w:r>
          </w:p>
        </w:tc>
        <w:tc>
          <w:tcPr>
            <w:tcW w:w="1985" w:type="dxa"/>
            <w:shd w:val="clear" w:color="auto" w:fill="82859C" w:themeFill="accent5"/>
          </w:tcPr>
          <w:p w14:paraId="020D5491" w14:textId="59EC566E" w:rsidR="00672FC0" w:rsidRPr="00B43213" w:rsidRDefault="00672FC0" w:rsidP="00223234">
            <w:pPr>
              <w:pStyle w:val="BodyText"/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t>DESCRIPTION</w:t>
            </w:r>
          </w:p>
        </w:tc>
        <w:tc>
          <w:tcPr>
            <w:tcW w:w="3260" w:type="dxa"/>
            <w:shd w:val="clear" w:color="auto" w:fill="82859C" w:themeFill="accent5"/>
          </w:tcPr>
          <w:p w14:paraId="5471EF74" w14:textId="5ABC9419" w:rsidR="00672FC0" w:rsidRPr="00B43213" w:rsidRDefault="00672FC0" w:rsidP="00223234">
            <w:pPr>
              <w:pStyle w:val="BodyText"/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t>GENERAL</w:t>
            </w:r>
          </w:p>
        </w:tc>
        <w:tc>
          <w:tcPr>
            <w:tcW w:w="2551" w:type="dxa"/>
            <w:shd w:val="clear" w:color="auto" w:fill="82859C" w:themeFill="accent5"/>
          </w:tcPr>
          <w:p w14:paraId="31FC1880" w14:textId="0F8A70A1" w:rsidR="00672FC0" w:rsidRPr="00B43213" w:rsidRDefault="00672FC0" w:rsidP="00223234">
            <w:pPr>
              <w:pStyle w:val="BodyText"/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t>DETAILED DESCRIPTION OF COMPLIANCE WITH GENERAL REQUIREMENT INCLUDING VALUES</w:t>
            </w:r>
          </w:p>
        </w:tc>
        <w:tc>
          <w:tcPr>
            <w:tcW w:w="1701" w:type="dxa"/>
            <w:shd w:val="clear" w:color="auto" w:fill="82859C" w:themeFill="accent5"/>
          </w:tcPr>
          <w:p w14:paraId="2F44AB6F" w14:textId="4D0F9965" w:rsidR="00672FC0" w:rsidRPr="00B43213" w:rsidRDefault="00672FC0" w:rsidP="00223234">
            <w:pPr>
              <w:pStyle w:val="BodyText"/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t>AGREED PERFORMANCE IS AUTOMATIC, NEGOTIATED OR MINIMUM STANDARD</w:t>
            </w: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br/>
              <w:t>(A / N / M)</w:t>
            </w:r>
          </w:p>
        </w:tc>
        <w:tc>
          <w:tcPr>
            <w:tcW w:w="4536" w:type="dxa"/>
            <w:shd w:val="clear" w:color="auto" w:fill="82859C" w:themeFill="accent5"/>
          </w:tcPr>
          <w:p w14:paraId="78719F5B" w14:textId="6A7C876A" w:rsidR="00672FC0" w:rsidRPr="00B43213" w:rsidRDefault="00672FC0" w:rsidP="00223234">
            <w:pPr>
              <w:pStyle w:val="BodyText"/>
              <w:jc w:val="center"/>
              <w:rPr>
                <w:rFonts w:asciiTheme="majorHAnsi" w:hAnsiTheme="majorHAnsi"/>
                <w:color w:val="FFFFFF" w:themeColor="background1"/>
                <w:sz w:val="16"/>
                <w:szCs w:val="16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  <w:t>DETAILED DESCRIPTION OF PROPOSED STANDARD INCLUDING VALUES</w:t>
            </w:r>
          </w:p>
        </w:tc>
      </w:tr>
      <w:tr w:rsidR="00F26C62" w:rsidRPr="00B74AB1" w14:paraId="0B3161EE" w14:textId="77777777" w:rsidTr="00173F7C">
        <w:trPr>
          <w:trHeight w:val="458"/>
        </w:trPr>
        <w:tc>
          <w:tcPr>
            <w:tcW w:w="1271" w:type="dxa"/>
            <w:shd w:val="clear" w:color="auto" w:fill="auto"/>
          </w:tcPr>
          <w:p w14:paraId="5D675242" w14:textId="0F0CE2E2" w:rsidR="00F26C62" w:rsidRPr="00173F7C" w:rsidRDefault="00F26C62" w:rsidP="00173F7C">
            <w:pPr>
              <w:pStyle w:val="BodyText"/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  <w:t>S5.3.3</w:t>
            </w:r>
          </w:p>
        </w:tc>
        <w:tc>
          <w:tcPr>
            <w:tcW w:w="1985" w:type="dxa"/>
            <w:shd w:val="clear" w:color="auto" w:fill="auto"/>
          </w:tcPr>
          <w:p w14:paraId="5FCB85DE" w14:textId="754815F8" w:rsidR="00F26C62" w:rsidRPr="00173F7C" w:rsidRDefault="00F26C62" w:rsidP="00173F7C">
            <w:pPr>
              <w:pStyle w:val="BodyText"/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</w:pPr>
            <w:r w:rsidRPr="00173F7C">
              <w:rPr>
                <w:rFonts w:cs="Arial"/>
                <w:sz w:val="18"/>
                <w:szCs w:val="18"/>
              </w:rPr>
              <w:t>Protection systems and settings</w:t>
            </w:r>
          </w:p>
        </w:tc>
        <w:tc>
          <w:tcPr>
            <w:tcW w:w="3260" w:type="dxa"/>
            <w:shd w:val="clear" w:color="auto" w:fill="B3B5C3" w:themeFill="accent5" w:themeFillTint="99"/>
          </w:tcPr>
          <w:p w14:paraId="1DDB71F6" w14:textId="77777777" w:rsidR="00F26C62" w:rsidRPr="00B43213" w:rsidRDefault="00F26C62" w:rsidP="00223234">
            <w:pPr>
              <w:pStyle w:val="BodyText"/>
              <w:jc w:val="center"/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B3B5C3" w:themeFill="accent5" w:themeFillTint="99"/>
          </w:tcPr>
          <w:p w14:paraId="06AFBBD1" w14:textId="77777777" w:rsidR="00F26C62" w:rsidRPr="00B43213" w:rsidRDefault="00F26C62" w:rsidP="00223234">
            <w:pPr>
              <w:pStyle w:val="BodyText"/>
              <w:jc w:val="center"/>
              <w:rPr>
                <w:rFonts w:asciiTheme="majorHAnsi" w:hAnsiTheme="majorHAnsi" w:cs="Arial"/>
                <w:b/>
                <w:bCs w:val="0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1EC5056A" w14:textId="77777777" w:rsidR="00F26C62" w:rsidRPr="00173F7C" w:rsidRDefault="00F26C62" w:rsidP="00173F7C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shd w:val="clear" w:color="auto" w:fill="auto"/>
          </w:tcPr>
          <w:p w14:paraId="076D67BD" w14:textId="6EBEE8B4" w:rsidR="00F26C62" w:rsidRPr="00173F7C" w:rsidRDefault="00B15C14" w:rsidP="00173F7C">
            <w:pPr>
              <w:pStyle w:val="BodyText"/>
              <w:rPr>
                <w:sz w:val="18"/>
                <w:szCs w:val="18"/>
                <w:lang w:val="en-GB" w:eastAsia="en-AU"/>
              </w:rPr>
            </w:pPr>
            <w:r>
              <w:rPr>
                <w:i/>
                <w:iCs/>
                <w:sz w:val="18"/>
                <w:szCs w:val="18"/>
                <w:lang w:val="en-GB" w:eastAsia="en-AU"/>
              </w:rPr>
              <w:t>Protection system</w:t>
            </w:r>
            <w:r>
              <w:rPr>
                <w:sz w:val="18"/>
                <w:szCs w:val="18"/>
                <w:lang w:val="en-GB" w:eastAsia="en-AU"/>
              </w:rPr>
              <w:t xml:space="preserve"> and settings requirements are specified in Appendix 1.</w:t>
            </w:r>
          </w:p>
        </w:tc>
      </w:tr>
      <w:tr w:rsidR="00672FC0" w14:paraId="67C03D90" w14:textId="77777777" w:rsidTr="00173F7C">
        <w:trPr>
          <w:trHeight w:val="475"/>
        </w:trPr>
        <w:tc>
          <w:tcPr>
            <w:tcW w:w="1271" w:type="dxa"/>
          </w:tcPr>
          <w:p w14:paraId="7C528CE0" w14:textId="1CE68D40" w:rsidR="00672FC0" w:rsidRPr="00B43213" w:rsidRDefault="00672FC0" w:rsidP="00672FC0">
            <w:pPr>
              <w:pStyle w:val="BodyText"/>
              <w:rPr>
                <w:rFonts w:asciiTheme="majorHAnsi" w:hAnsiTheme="majorHAnsi"/>
                <w:b/>
                <w:bCs w:val="0"/>
                <w:sz w:val="18"/>
                <w:szCs w:val="18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  <w:t>S5.3.5</w:t>
            </w:r>
          </w:p>
        </w:tc>
        <w:tc>
          <w:tcPr>
            <w:tcW w:w="1985" w:type="dxa"/>
          </w:tcPr>
          <w:p w14:paraId="05F35E85" w14:textId="53C59C4D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rFonts w:cs="Arial"/>
                <w:sz w:val="18"/>
                <w:szCs w:val="18"/>
              </w:rPr>
              <w:t>Power factor requirements</w:t>
            </w:r>
          </w:p>
        </w:tc>
        <w:tc>
          <w:tcPr>
            <w:tcW w:w="3260" w:type="dxa"/>
            <w:shd w:val="clear" w:color="auto" w:fill="B3B5C3" w:themeFill="accent5" w:themeFillTint="99"/>
          </w:tcPr>
          <w:p w14:paraId="647DD294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2551" w:type="dxa"/>
            <w:shd w:val="clear" w:color="auto" w:fill="B3B5C3" w:themeFill="accent5" w:themeFillTint="99"/>
          </w:tcPr>
          <w:p w14:paraId="4A0475CB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1701" w:type="dxa"/>
          </w:tcPr>
          <w:p w14:paraId="2827DA85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</w:tcPr>
          <w:p w14:paraId="1BF6D7C4" w14:textId="7F05B47A" w:rsidR="00672FC0" w:rsidRPr="00B43213" w:rsidRDefault="00F26C62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sz w:val="18"/>
                <w:szCs w:val="18"/>
                <w:lang w:val="en-GB" w:eastAsia="en-AU"/>
              </w:rPr>
              <w:t xml:space="preserve">The </w:t>
            </w:r>
            <w:r w:rsidRPr="00B43213">
              <w:rPr>
                <w:i/>
                <w:iCs/>
                <w:sz w:val="18"/>
                <w:szCs w:val="18"/>
                <w:lang w:val="en-GB" w:eastAsia="en-AU"/>
              </w:rPr>
              <w:t>power factor</w:t>
            </w:r>
            <w:r w:rsidRPr="00B43213">
              <w:rPr>
                <w:sz w:val="18"/>
                <w:szCs w:val="18"/>
                <w:lang w:val="en-GB" w:eastAsia="en-AU"/>
              </w:rPr>
              <w:t xml:space="preserve"> at the </w:t>
            </w:r>
            <w:r w:rsidRPr="00B43213">
              <w:rPr>
                <w:i/>
                <w:iCs/>
                <w:sz w:val="18"/>
                <w:szCs w:val="18"/>
                <w:lang w:val="en-GB" w:eastAsia="en-AU"/>
              </w:rPr>
              <w:t>connection point</w:t>
            </w:r>
            <w:r w:rsidRPr="00B43213">
              <w:rPr>
                <w:sz w:val="18"/>
                <w:szCs w:val="18"/>
                <w:lang w:val="en-GB" w:eastAsia="en-AU"/>
              </w:rPr>
              <w:t xml:space="preserve"> must remain between [</w:t>
            </w:r>
            <w:r w:rsidRPr="00434C5C">
              <w:rPr>
                <w:sz w:val="18"/>
                <w:szCs w:val="18"/>
                <w:highlight w:val="yellow"/>
                <w:lang w:val="en-GB" w:eastAsia="en-AU"/>
              </w:rPr>
              <w:t>PF</w:t>
            </w:r>
            <w:r w:rsidRPr="00B43213">
              <w:rPr>
                <w:sz w:val="18"/>
                <w:szCs w:val="18"/>
                <w:lang w:val="en-GB" w:eastAsia="en-AU"/>
              </w:rPr>
              <w:t>] [</w:t>
            </w:r>
            <w:r w:rsidRPr="00434C5C">
              <w:rPr>
                <w:sz w:val="18"/>
                <w:szCs w:val="18"/>
                <w:highlight w:val="yellow"/>
                <w:lang w:val="en-GB" w:eastAsia="en-AU"/>
              </w:rPr>
              <w:t>lagging/leading</w:t>
            </w:r>
            <w:r w:rsidRPr="00B43213">
              <w:rPr>
                <w:sz w:val="18"/>
                <w:szCs w:val="18"/>
                <w:lang w:val="en-GB" w:eastAsia="en-AU"/>
              </w:rPr>
              <w:t>] and unity.</w:t>
            </w:r>
          </w:p>
        </w:tc>
      </w:tr>
      <w:tr w:rsidR="00672FC0" w14:paraId="08C7DDD8" w14:textId="77777777" w:rsidTr="00173F7C">
        <w:trPr>
          <w:trHeight w:val="475"/>
        </w:trPr>
        <w:tc>
          <w:tcPr>
            <w:tcW w:w="1271" w:type="dxa"/>
          </w:tcPr>
          <w:p w14:paraId="5506A277" w14:textId="5F0A1DD2" w:rsidR="00672FC0" w:rsidRPr="00B43213" w:rsidRDefault="00672FC0" w:rsidP="00672FC0">
            <w:pPr>
              <w:pStyle w:val="BodyText"/>
              <w:rPr>
                <w:rFonts w:asciiTheme="majorHAnsi" w:hAnsiTheme="majorHAnsi"/>
                <w:b/>
                <w:bCs w:val="0"/>
                <w:sz w:val="18"/>
                <w:szCs w:val="18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  <w:t>S5.3.6</w:t>
            </w:r>
          </w:p>
        </w:tc>
        <w:tc>
          <w:tcPr>
            <w:tcW w:w="1985" w:type="dxa"/>
          </w:tcPr>
          <w:p w14:paraId="7A93914F" w14:textId="2226F80D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rFonts w:cs="Arial"/>
                <w:sz w:val="18"/>
                <w:szCs w:val="18"/>
              </w:rPr>
              <w:t>Balancing of load currents</w:t>
            </w:r>
          </w:p>
        </w:tc>
        <w:tc>
          <w:tcPr>
            <w:tcW w:w="3260" w:type="dxa"/>
            <w:shd w:val="clear" w:color="auto" w:fill="B3B5C3" w:themeFill="accent5" w:themeFillTint="99"/>
          </w:tcPr>
          <w:p w14:paraId="0A3A7AFD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2551" w:type="dxa"/>
            <w:shd w:val="clear" w:color="auto" w:fill="B3B5C3" w:themeFill="accent5" w:themeFillTint="99"/>
          </w:tcPr>
          <w:p w14:paraId="008CF5FC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1701" w:type="dxa"/>
          </w:tcPr>
          <w:p w14:paraId="3AC56F42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</w:tcPr>
          <w:p w14:paraId="4349FEFC" w14:textId="32DA9BAA" w:rsidR="00672FC0" w:rsidRPr="00F26C62" w:rsidRDefault="00F26C62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>
              <w:rPr>
                <w:sz w:val="18"/>
                <w:szCs w:val="18"/>
                <w:lang w:val="en-GB" w:eastAsia="en-AU"/>
              </w:rPr>
              <w:t xml:space="preserve">The </w:t>
            </w:r>
            <w:r>
              <w:rPr>
                <w:i/>
                <w:iCs/>
                <w:sz w:val="18"/>
                <w:szCs w:val="18"/>
                <w:lang w:val="en-GB" w:eastAsia="en-AU"/>
              </w:rPr>
              <w:t>Network User</w:t>
            </w:r>
            <w:r>
              <w:rPr>
                <w:sz w:val="18"/>
                <w:szCs w:val="18"/>
                <w:lang w:val="en-GB" w:eastAsia="en-AU"/>
              </w:rPr>
              <w:t xml:space="preserve"> must ensure that the current in any phase is not greater than </w:t>
            </w:r>
            <w:r w:rsidRPr="00173F7C">
              <w:rPr>
                <w:sz w:val="18"/>
                <w:szCs w:val="18"/>
                <w:highlight w:val="yellow"/>
                <w:lang w:val="en-GB" w:eastAsia="en-AU"/>
              </w:rPr>
              <w:t>XXX</w:t>
            </w:r>
            <w:r>
              <w:rPr>
                <w:sz w:val="18"/>
                <w:szCs w:val="18"/>
                <w:lang w:val="en-GB" w:eastAsia="en-AU"/>
              </w:rPr>
              <w:t xml:space="preserve">% or less than </w:t>
            </w:r>
            <w:r w:rsidRPr="00173F7C">
              <w:rPr>
                <w:sz w:val="18"/>
                <w:szCs w:val="18"/>
                <w:highlight w:val="yellow"/>
                <w:lang w:val="en-GB" w:eastAsia="en-AU"/>
              </w:rPr>
              <w:t>YY</w:t>
            </w:r>
            <w:r>
              <w:rPr>
                <w:sz w:val="18"/>
                <w:szCs w:val="18"/>
                <w:lang w:val="en-GB" w:eastAsia="en-AU"/>
              </w:rPr>
              <w:t>% of the average of the currents in the three phases.</w:t>
            </w:r>
          </w:p>
        </w:tc>
      </w:tr>
      <w:tr w:rsidR="00672FC0" w14:paraId="608B3918" w14:textId="77777777" w:rsidTr="00173F7C">
        <w:trPr>
          <w:trHeight w:val="475"/>
        </w:trPr>
        <w:tc>
          <w:tcPr>
            <w:tcW w:w="1271" w:type="dxa"/>
          </w:tcPr>
          <w:p w14:paraId="76966834" w14:textId="4C06E0BD" w:rsidR="00672FC0" w:rsidRPr="00B43213" w:rsidRDefault="00672FC0" w:rsidP="00672FC0">
            <w:pPr>
              <w:pStyle w:val="BodyText"/>
              <w:rPr>
                <w:rFonts w:asciiTheme="majorHAnsi" w:hAnsiTheme="majorHAnsi"/>
                <w:b/>
                <w:bCs w:val="0"/>
                <w:sz w:val="18"/>
                <w:szCs w:val="18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  <w:t>S5.3.7</w:t>
            </w:r>
          </w:p>
        </w:tc>
        <w:tc>
          <w:tcPr>
            <w:tcW w:w="1985" w:type="dxa"/>
          </w:tcPr>
          <w:p w14:paraId="032890B3" w14:textId="3EE8A095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rFonts w:cs="Arial"/>
                <w:sz w:val="18"/>
                <w:szCs w:val="18"/>
              </w:rPr>
              <w:t>Voltage fluctuations</w:t>
            </w:r>
          </w:p>
        </w:tc>
        <w:tc>
          <w:tcPr>
            <w:tcW w:w="3260" w:type="dxa"/>
            <w:shd w:val="clear" w:color="auto" w:fill="B3B5C3" w:themeFill="accent5" w:themeFillTint="99"/>
          </w:tcPr>
          <w:p w14:paraId="4643D59B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2551" w:type="dxa"/>
            <w:shd w:val="clear" w:color="auto" w:fill="B3B5C3" w:themeFill="accent5" w:themeFillTint="99"/>
          </w:tcPr>
          <w:p w14:paraId="33666617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1701" w:type="dxa"/>
          </w:tcPr>
          <w:p w14:paraId="7A675579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</w:tcPr>
          <w:p w14:paraId="6946E9FB" w14:textId="41EA7EBD" w:rsidR="00672FC0" w:rsidRPr="00B43213" w:rsidRDefault="00B43213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i/>
                <w:iCs/>
                <w:sz w:val="18"/>
                <w:szCs w:val="18"/>
                <w:lang w:val="en-GB" w:eastAsia="en-AU"/>
              </w:rPr>
              <w:t>Voltag</w:t>
            </w:r>
            <w:r>
              <w:rPr>
                <w:i/>
                <w:iCs/>
                <w:sz w:val="18"/>
                <w:szCs w:val="18"/>
                <w:lang w:val="en-GB" w:eastAsia="en-AU"/>
              </w:rPr>
              <w:t>e</w:t>
            </w:r>
            <w:r>
              <w:rPr>
                <w:sz w:val="18"/>
                <w:szCs w:val="18"/>
                <w:lang w:val="en-GB" w:eastAsia="en-AU"/>
              </w:rPr>
              <w:t xml:space="preserve"> fluctuation requirements are specified in Appendix </w:t>
            </w:r>
            <w:r w:rsidR="00B15C14">
              <w:rPr>
                <w:sz w:val="18"/>
                <w:szCs w:val="18"/>
                <w:lang w:val="en-GB" w:eastAsia="en-AU"/>
              </w:rPr>
              <w:t>2</w:t>
            </w:r>
            <w:r>
              <w:rPr>
                <w:sz w:val="18"/>
                <w:szCs w:val="18"/>
                <w:lang w:val="en-GB" w:eastAsia="en-AU"/>
              </w:rPr>
              <w:t>.</w:t>
            </w:r>
          </w:p>
        </w:tc>
      </w:tr>
      <w:tr w:rsidR="00672FC0" w14:paraId="6FC16A0F" w14:textId="77777777" w:rsidTr="00173F7C">
        <w:trPr>
          <w:trHeight w:val="475"/>
        </w:trPr>
        <w:tc>
          <w:tcPr>
            <w:tcW w:w="1271" w:type="dxa"/>
          </w:tcPr>
          <w:p w14:paraId="581A31AC" w14:textId="7D653982" w:rsidR="00672FC0" w:rsidRPr="00B43213" w:rsidRDefault="00672FC0" w:rsidP="00672FC0">
            <w:pPr>
              <w:pStyle w:val="BodyText"/>
              <w:rPr>
                <w:rFonts w:asciiTheme="majorHAnsi" w:hAnsiTheme="majorHAnsi"/>
                <w:b/>
                <w:bCs w:val="0"/>
                <w:sz w:val="18"/>
                <w:szCs w:val="18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  <w:t>S5.3.8</w:t>
            </w:r>
          </w:p>
        </w:tc>
        <w:tc>
          <w:tcPr>
            <w:tcW w:w="1985" w:type="dxa"/>
          </w:tcPr>
          <w:p w14:paraId="7FF07929" w14:textId="2F5C3813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rFonts w:cs="Arial"/>
                <w:sz w:val="18"/>
                <w:szCs w:val="18"/>
              </w:rPr>
              <w:t>Harmonics and voltage notching</w:t>
            </w:r>
          </w:p>
        </w:tc>
        <w:tc>
          <w:tcPr>
            <w:tcW w:w="3260" w:type="dxa"/>
            <w:shd w:val="clear" w:color="auto" w:fill="B3B5C3" w:themeFill="accent5" w:themeFillTint="99"/>
          </w:tcPr>
          <w:p w14:paraId="47650664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2551" w:type="dxa"/>
            <w:shd w:val="clear" w:color="auto" w:fill="B3B5C3" w:themeFill="accent5" w:themeFillTint="99"/>
          </w:tcPr>
          <w:p w14:paraId="09B304C5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1701" w:type="dxa"/>
          </w:tcPr>
          <w:p w14:paraId="33CAB642" w14:textId="77777777" w:rsidR="00672FC0" w:rsidRPr="00B43213" w:rsidRDefault="00672FC0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</w:tcPr>
          <w:p w14:paraId="02BEE0C4" w14:textId="2513E560" w:rsidR="00672FC0" w:rsidRPr="00B43213" w:rsidRDefault="00B43213" w:rsidP="00672FC0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i/>
                <w:iCs/>
                <w:sz w:val="18"/>
                <w:szCs w:val="18"/>
                <w:lang w:val="en-GB" w:eastAsia="en-AU"/>
              </w:rPr>
              <w:t>Harmonics</w:t>
            </w:r>
            <w:r>
              <w:rPr>
                <w:sz w:val="18"/>
                <w:szCs w:val="18"/>
                <w:lang w:val="en-GB" w:eastAsia="en-AU"/>
              </w:rPr>
              <w:t xml:space="preserve"> and </w:t>
            </w:r>
            <w:r>
              <w:rPr>
                <w:i/>
                <w:iCs/>
                <w:sz w:val="18"/>
                <w:szCs w:val="18"/>
                <w:lang w:val="en-GB" w:eastAsia="en-AU"/>
              </w:rPr>
              <w:t>voltage</w:t>
            </w:r>
            <w:r>
              <w:rPr>
                <w:sz w:val="18"/>
                <w:szCs w:val="18"/>
                <w:lang w:val="en-GB" w:eastAsia="en-AU"/>
              </w:rPr>
              <w:t xml:space="preserve"> notching requirements are specified in Appendix </w:t>
            </w:r>
            <w:r w:rsidR="00B15C14">
              <w:rPr>
                <w:sz w:val="18"/>
                <w:szCs w:val="18"/>
                <w:lang w:val="en-GB" w:eastAsia="en-AU"/>
              </w:rPr>
              <w:t>3</w:t>
            </w:r>
            <w:r>
              <w:rPr>
                <w:sz w:val="18"/>
                <w:szCs w:val="18"/>
                <w:lang w:val="en-GB" w:eastAsia="en-AU"/>
              </w:rPr>
              <w:t>.</w:t>
            </w:r>
          </w:p>
        </w:tc>
      </w:tr>
      <w:tr w:rsidR="00855BD6" w14:paraId="06CF959F" w14:textId="77777777" w:rsidTr="00173F7C">
        <w:trPr>
          <w:trHeight w:val="475"/>
        </w:trPr>
        <w:tc>
          <w:tcPr>
            <w:tcW w:w="1271" w:type="dxa"/>
          </w:tcPr>
          <w:p w14:paraId="6A0EBDC1" w14:textId="7FDFF083" w:rsidR="00855BD6" w:rsidRPr="00B43213" w:rsidRDefault="00855BD6" w:rsidP="00855BD6">
            <w:pPr>
              <w:pStyle w:val="BodyText"/>
              <w:rPr>
                <w:rFonts w:asciiTheme="majorHAnsi" w:hAnsiTheme="majorHAnsi"/>
                <w:b/>
                <w:bCs w:val="0"/>
                <w:sz w:val="18"/>
                <w:szCs w:val="18"/>
                <w:lang w:val="en-GB" w:eastAsia="en-AU"/>
              </w:rPr>
            </w:pPr>
            <w:r w:rsidRPr="00B43213"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  <w:t>S5.3.10</w:t>
            </w:r>
          </w:p>
        </w:tc>
        <w:tc>
          <w:tcPr>
            <w:tcW w:w="1985" w:type="dxa"/>
          </w:tcPr>
          <w:p w14:paraId="52929311" w14:textId="4D1AD9F5" w:rsidR="00855BD6" w:rsidRPr="00B43213" w:rsidRDefault="00855BD6" w:rsidP="00855BD6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rFonts w:cs="Arial"/>
                <w:sz w:val="18"/>
                <w:szCs w:val="18"/>
              </w:rPr>
              <w:t>Load shedding facilities</w:t>
            </w:r>
          </w:p>
        </w:tc>
        <w:tc>
          <w:tcPr>
            <w:tcW w:w="3260" w:type="dxa"/>
          </w:tcPr>
          <w:p w14:paraId="5C20D9FA" w14:textId="4379FFE8" w:rsidR="00855BD6" w:rsidRPr="00B43213" w:rsidRDefault="00855BD6" w:rsidP="00855BD6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B43213">
              <w:rPr>
                <w:i/>
                <w:iCs/>
                <w:sz w:val="18"/>
                <w:szCs w:val="18"/>
              </w:rPr>
              <w:t xml:space="preserve">Network Users </w:t>
            </w:r>
            <w:r w:rsidRPr="00B43213">
              <w:rPr>
                <w:sz w:val="18"/>
                <w:szCs w:val="18"/>
              </w:rPr>
              <w:t xml:space="preserve">who are </w:t>
            </w:r>
            <w:r w:rsidRPr="00B43213">
              <w:rPr>
                <w:i/>
                <w:iCs/>
                <w:sz w:val="18"/>
                <w:szCs w:val="18"/>
              </w:rPr>
              <w:t xml:space="preserve">Market Customers </w:t>
            </w:r>
            <w:r w:rsidRPr="00B43213">
              <w:rPr>
                <w:sz w:val="18"/>
                <w:szCs w:val="18"/>
              </w:rPr>
              <w:t xml:space="preserve">and who have expected peak demands of more than 10MW must provide automatic </w:t>
            </w:r>
            <w:r w:rsidRPr="00B43213">
              <w:rPr>
                <w:rStyle w:val="italic"/>
                <w:sz w:val="18"/>
                <w:szCs w:val="18"/>
              </w:rPr>
              <w:t>interruptible load</w:t>
            </w:r>
            <w:r w:rsidRPr="00B43213">
              <w:rPr>
                <w:sz w:val="18"/>
                <w:szCs w:val="18"/>
              </w:rPr>
              <w:t xml:space="preserve"> in accordance with clause </w:t>
            </w:r>
            <w:r w:rsidRPr="00B43213">
              <w:rPr>
                <w:rStyle w:val="link"/>
                <w:sz w:val="18"/>
                <w:szCs w:val="18"/>
              </w:rPr>
              <w:t>4.3.5</w:t>
            </w:r>
            <w:r w:rsidRPr="00B43213">
              <w:rPr>
                <w:sz w:val="18"/>
                <w:szCs w:val="18"/>
              </w:rPr>
              <w:t xml:space="preserve"> of the </w:t>
            </w:r>
            <w:r w:rsidRPr="00B43213">
              <w:rPr>
                <w:rStyle w:val="italic"/>
                <w:sz w:val="18"/>
                <w:szCs w:val="18"/>
              </w:rPr>
              <w:t>Rules</w:t>
            </w:r>
            <w:r w:rsidRPr="00B43213">
              <w:rPr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14:paraId="73572DC0" w14:textId="30795073" w:rsidR="00855BD6" w:rsidRPr="00B43213" w:rsidRDefault="00855BD6" w:rsidP="00855BD6">
            <w:pPr>
              <w:pStyle w:val="BodyText"/>
              <w:rPr>
                <w:sz w:val="18"/>
                <w:szCs w:val="18"/>
                <w:lang w:val="en-GB" w:eastAsia="en-AU"/>
              </w:rPr>
            </w:pPr>
            <w:r w:rsidRPr="000B4973">
              <w:rPr>
                <w:lang w:val="en-GB" w:eastAsia="en-AU"/>
              </w:rPr>
              <w:t>100% load shedding for automatic under frequency</w:t>
            </w:r>
            <w:r>
              <w:rPr>
                <w:lang w:val="en-GB" w:eastAsia="en-AU"/>
              </w:rPr>
              <w:t xml:space="preserve"> and manual load shedding and possible future under voltage load shedding</w:t>
            </w:r>
            <w:r w:rsidRPr="000B4973">
              <w:rPr>
                <w:lang w:val="en-GB" w:eastAsia="en-AU"/>
              </w:rPr>
              <w:t xml:space="preserve"> as per S5.1.10.  </w:t>
            </w:r>
          </w:p>
        </w:tc>
        <w:tc>
          <w:tcPr>
            <w:tcW w:w="1701" w:type="dxa"/>
            <w:shd w:val="clear" w:color="auto" w:fill="B3B5C3" w:themeFill="accent5" w:themeFillTint="99"/>
          </w:tcPr>
          <w:p w14:paraId="72830819" w14:textId="77777777" w:rsidR="00855BD6" w:rsidRPr="00B43213" w:rsidRDefault="00855BD6" w:rsidP="00855BD6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shd w:val="clear" w:color="auto" w:fill="B3B5C3" w:themeFill="accent5" w:themeFillTint="99"/>
          </w:tcPr>
          <w:p w14:paraId="27DA8FE9" w14:textId="77777777" w:rsidR="00855BD6" w:rsidRPr="00B43213" w:rsidRDefault="00855BD6" w:rsidP="00855BD6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</w:tr>
      <w:tr w:rsidR="00F26C62" w14:paraId="44E8F322" w14:textId="77777777" w:rsidTr="00173F7C">
        <w:trPr>
          <w:trHeight w:val="475"/>
        </w:trPr>
        <w:tc>
          <w:tcPr>
            <w:tcW w:w="1271" w:type="dxa"/>
          </w:tcPr>
          <w:p w14:paraId="7C304D4A" w14:textId="6E4909B7" w:rsidR="00F26C62" w:rsidRPr="00B43213" w:rsidRDefault="00F26C62" w:rsidP="00855BD6">
            <w:pPr>
              <w:pStyle w:val="BodyText"/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/>
                <w:bCs w:val="0"/>
                <w:sz w:val="18"/>
                <w:szCs w:val="18"/>
              </w:rPr>
              <w:t>S5.3.11</w:t>
            </w:r>
          </w:p>
        </w:tc>
        <w:tc>
          <w:tcPr>
            <w:tcW w:w="1985" w:type="dxa"/>
          </w:tcPr>
          <w:p w14:paraId="1FD793FB" w14:textId="77777777" w:rsidR="00F26C62" w:rsidRDefault="00B15C14" w:rsidP="00855BD6">
            <w:pPr>
              <w:pStyle w:val="BodyTex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Short circuit ratio (customers)</w:t>
            </w:r>
          </w:p>
          <w:p w14:paraId="64120777" w14:textId="04EFBA70" w:rsidR="00B15C14" w:rsidRPr="00B43213" w:rsidRDefault="00B15C14" w:rsidP="00855BD6">
            <w:pPr>
              <w:pStyle w:val="BodyText"/>
              <w:rPr>
                <w:rFonts w:cs="Arial"/>
                <w:sz w:val="18"/>
                <w:szCs w:val="18"/>
              </w:rPr>
            </w:pPr>
            <w:r w:rsidRPr="00173F7C">
              <w:rPr>
                <w:rFonts w:cs="Arial"/>
                <w:sz w:val="18"/>
                <w:szCs w:val="18"/>
                <w:highlight w:val="yellow"/>
              </w:rPr>
              <w:t xml:space="preserve">[Only applicable to </w:t>
            </w:r>
            <w:proofErr w:type="gramStart"/>
            <w:r w:rsidRPr="00173F7C">
              <w:rPr>
                <w:rFonts w:cs="Arial"/>
                <w:i/>
                <w:iCs/>
                <w:sz w:val="18"/>
                <w:szCs w:val="18"/>
                <w:highlight w:val="yellow"/>
              </w:rPr>
              <w:t>inverter based</w:t>
            </w:r>
            <w:proofErr w:type="gramEnd"/>
            <w:r w:rsidRPr="00173F7C">
              <w:rPr>
                <w:rFonts w:cs="Arial"/>
                <w:i/>
                <w:iCs/>
                <w:sz w:val="18"/>
                <w:szCs w:val="18"/>
                <w:highlight w:val="yellow"/>
              </w:rPr>
              <w:t xml:space="preserve"> loads</w:t>
            </w:r>
            <w:r w:rsidRPr="00173F7C">
              <w:rPr>
                <w:rFonts w:cs="Arial"/>
                <w:sz w:val="18"/>
                <w:szCs w:val="18"/>
                <w:highlight w:val="yellow"/>
              </w:rPr>
              <w:t>]</w:t>
            </w:r>
          </w:p>
        </w:tc>
        <w:tc>
          <w:tcPr>
            <w:tcW w:w="3260" w:type="dxa"/>
            <w:shd w:val="clear" w:color="auto" w:fill="B3B5C3" w:themeFill="accent5" w:themeFillTint="99"/>
          </w:tcPr>
          <w:p w14:paraId="22B55C8A" w14:textId="77777777" w:rsidR="00F26C62" w:rsidRPr="00B43213" w:rsidRDefault="00F26C62" w:rsidP="00855BD6">
            <w:pPr>
              <w:pStyle w:val="BodyTex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B3B5C3" w:themeFill="accent5" w:themeFillTint="99"/>
          </w:tcPr>
          <w:p w14:paraId="22ABDAB9" w14:textId="77777777" w:rsidR="00F26C62" w:rsidRPr="000B4973" w:rsidRDefault="00F26C62" w:rsidP="00855BD6">
            <w:pPr>
              <w:pStyle w:val="BodyText"/>
              <w:rPr>
                <w:lang w:val="en-GB" w:eastAsia="en-AU"/>
              </w:rPr>
            </w:pPr>
          </w:p>
        </w:tc>
        <w:tc>
          <w:tcPr>
            <w:tcW w:w="1701" w:type="dxa"/>
            <w:shd w:val="clear" w:color="auto" w:fill="auto"/>
          </w:tcPr>
          <w:p w14:paraId="35F2B4B6" w14:textId="77777777" w:rsidR="00F26C62" w:rsidRPr="00B43213" w:rsidRDefault="00F26C62" w:rsidP="00855BD6">
            <w:pPr>
              <w:pStyle w:val="BodyText"/>
              <w:rPr>
                <w:sz w:val="18"/>
                <w:szCs w:val="18"/>
                <w:lang w:val="en-GB" w:eastAsia="en-AU"/>
              </w:rPr>
            </w:pPr>
          </w:p>
        </w:tc>
        <w:tc>
          <w:tcPr>
            <w:tcW w:w="4536" w:type="dxa"/>
            <w:shd w:val="clear" w:color="auto" w:fill="auto"/>
          </w:tcPr>
          <w:p w14:paraId="3B0B8B3A" w14:textId="520C1FCE" w:rsidR="00F26C62" w:rsidRPr="00B15C14" w:rsidRDefault="00B15C14" w:rsidP="00855BD6">
            <w:pPr>
              <w:pStyle w:val="BodyText"/>
              <w:rPr>
                <w:sz w:val="18"/>
                <w:szCs w:val="18"/>
                <w:lang w:val="en-GB" w:eastAsia="en-AU"/>
              </w:rPr>
            </w:pPr>
            <w:r>
              <w:rPr>
                <w:sz w:val="18"/>
                <w:szCs w:val="18"/>
                <w:lang w:val="en-GB" w:eastAsia="en-AU"/>
              </w:rPr>
              <w:t xml:space="preserve">The </w:t>
            </w:r>
            <w:r>
              <w:rPr>
                <w:i/>
                <w:iCs/>
                <w:sz w:val="18"/>
                <w:szCs w:val="18"/>
                <w:lang w:val="en-GB" w:eastAsia="en-AU"/>
              </w:rPr>
              <w:t>Network User</w:t>
            </w:r>
            <w:r>
              <w:rPr>
                <w:sz w:val="18"/>
                <w:szCs w:val="18"/>
                <w:lang w:val="en-GB" w:eastAsia="en-AU"/>
              </w:rPr>
              <w:t xml:space="preserve"> must have plant capability sufficient to operate stably and remain </w:t>
            </w:r>
            <w:r w:rsidRPr="00173F7C">
              <w:rPr>
                <w:i/>
                <w:iCs/>
                <w:sz w:val="18"/>
                <w:szCs w:val="18"/>
                <w:lang w:val="en-GB" w:eastAsia="en-AU"/>
              </w:rPr>
              <w:t>connected</w:t>
            </w:r>
            <w:r>
              <w:rPr>
                <w:sz w:val="18"/>
                <w:szCs w:val="18"/>
                <w:lang w:val="en-GB" w:eastAsia="en-AU"/>
              </w:rPr>
              <w:t xml:space="preserve"> at a </w:t>
            </w:r>
            <w:r w:rsidRPr="00173F7C">
              <w:rPr>
                <w:i/>
                <w:iCs/>
                <w:sz w:val="18"/>
                <w:szCs w:val="18"/>
                <w:lang w:val="en-GB" w:eastAsia="en-AU"/>
              </w:rPr>
              <w:t>short circuit ratio</w:t>
            </w:r>
            <w:r>
              <w:rPr>
                <w:sz w:val="18"/>
                <w:szCs w:val="18"/>
                <w:lang w:val="en-GB" w:eastAsia="en-AU"/>
              </w:rPr>
              <w:t xml:space="preserve"> of </w:t>
            </w:r>
            <w:r w:rsidRPr="00173F7C">
              <w:rPr>
                <w:sz w:val="18"/>
                <w:szCs w:val="18"/>
                <w:highlight w:val="yellow"/>
                <w:lang w:val="en-GB" w:eastAsia="en-AU"/>
              </w:rPr>
              <w:t>X.X</w:t>
            </w:r>
            <w:r>
              <w:rPr>
                <w:sz w:val="18"/>
                <w:szCs w:val="18"/>
                <w:lang w:val="en-GB" w:eastAsia="en-AU"/>
              </w:rPr>
              <w:t>, asses</w:t>
            </w:r>
            <w:r w:rsidRPr="00B15C14">
              <w:rPr>
                <w:sz w:val="18"/>
                <w:szCs w:val="18"/>
                <w:lang w:val="en-GB" w:eastAsia="en-AU"/>
              </w:rPr>
              <w:t>sed in accordance with the methodology prescribed in the sy</w:t>
            </w:r>
            <w:r w:rsidRPr="00173F7C">
              <w:rPr>
                <w:i/>
                <w:iCs/>
                <w:sz w:val="18"/>
                <w:szCs w:val="18"/>
                <w:lang w:val="en-GB" w:eastAsia="en-AU"/>
              </w:rPr>
              <w:t>stem strength impact assessment guidelines</w:t>
            </w:r>
            <w:r>
              <w:rPr>
                <w:sz w:val="18"/>
                <w:szCs w:val="18"/>
                <w:lang w:val="en-GB" w:eastAsia="en-AU"/>
              </w:rPr>
              <w:t>.</w:t>
            </w:r>
          </w:p>
        </w:tc>
      </w:tr>
    </w:tbl>
    <w:p w14:paraId="0C509491" w14:textId="63FD0D45" w:rsidR="00F26C62" w:rsidRDefault="00F26C62">
      <w:pPr>
        <w:rPr>
          <w:lang w:val="en-GB" w:eastAsia="en-AU"/>
        </w:rPr>
      </w:pPr>
      <w:r>
        <w:rPr>
          <w:lang w:val="en-GB" w:eastAsia="en-AU"/>
        </w:rPr>
        <w:br w:type="page"/>
      </w:r>
    </w:p>
    <w:p w14:paraId="7DF2F418" w14:textId="33AC8DEC" w:rsidR="008C68C4" w:rsidRDefault="008C68C4" w:rsidP="008C68C4">
      <w:pPr>
        <w:rPr>
          <w:lang w:val="en-GB" w:eastAsia="en-AU"/>
        </w:rPr>
        <w:sectPr w:rsidR="008C68C4" w:rsidSect="002E02D7">
          <w:pgSz w:w="16838" w:h="11906" w:orient="landscape" w:code="9"/>
          <w:pgMar w:top="720" w:right="720" w:bottom="720" w:left="720" w:header="539" w:footer="284" w:gutter="0"/>
          <w:cols w:space="720"/>
          <w:docGrid w:linePitch="360"/>
        </w:sectPr>
      </w:pPr>
    </w:p>
    <w:p w14:paraId="2591B249" w14:textId="77777777" w:rsidR="002E02D7" w:rsidRDefault="002E02D7" w:rsidP="00672FC0">
      <w:pPr>
        <w:pStyle w:val="BodyText"/>
        <w:rPr>
          <w:lang w:val="en-GB" w:eastAsia="en-AU"/>
        </w:rPr>
      </w:pPr>
    </w:p>
    <w:p w14:paraId="45C15E9A" w14:textId="77777777" w:rsidR="002E02D7" w:rsidRDefault="002E02D7" w:rsidP="00672FC0">
      <w:pPr>
        <w:pStyle w:val="BodyText"/>
        <w:rPr>
          <w:lang w:val="en-GB" w:eastAsia="en-AU"/>
        </w:rPr>
      </w:pPr>
    </w:p>
    <w:p w14:paraId="249900FE" w14:textId="77777777" w:rsidR="00836A4C" w:rsidRDefault="00836A4C" w:rsidP="00672FC0">
      <w:pPr>
        <w:pStyle w:val="BodyText"/>
        <w:rPr>
          <w:lang w:val="en-GB" w:eastAsia="en-AU"/>
        </w:rPr>
      </w:pPr>
    </w:p>
    <w:p w14:paraId="0A00630E" w14:textId="7B41A48A" w:rsidR="005A1DBE" w:rsidRDefault="005A1DBE" w:rsidP="00672FC0">
      <w:pPr>
        <w:pStyle w:val="BodyText"/>
        <w:rPr>
          <w:b/>
          <w:bCs w:val="0"/>
          <w:sz w:val="24"/>
          <w:szCs w:val="24"/>
          <w:lang w:val="en-GB" w:eastAsia="en-AU"/>
        </w:rPr>
      </w:pPr>
      <w:r>
        <w:rPr>
          <w:b/>
          <w:bCs w:val="0"/>
          <w:sz w:val="24"/>
          <w:szCs w:val="24"/>
          <w:lang w:val="en-GB" w:eastAsia="en-AU"/>
        </w:rPr>
        <w:t>Appendix 1: S5.3.3 Protection Systems and Settings</w:t>
      </w:r>
    </w:p>
    <w:p w14:paraId="2E49775C" w14:textId="77777777" w:rsidR="00B15C14" w:rsidRDefault="00B15C14">
      <w:pPr>
        <w:rPr>
          <w:lang w:val="en-GB" w:eastAsia="en-AU"/>
        </w:rPr>
      </w:pPr>
    </w:p>
    <w:p w14:paraId="232408F4" w14:textId="5EE264FF" w:rsidR="005A1DBE" w:rsidRPr="005A1DBE" w:rsidRDefault="005A1DBE">
      <w:pPr>
        <w:rPr>
          <w:lang w:val="en-GB" w:eastAsia="en-AU"/>
        </w:rPr>
      </w:pPr>
      <w:r>
        <w:rPr>
          <w:lang w:val="en-GB" w:eastAsia="en-AU"/>
        </w:rPr>
        <w:t>The [</w:t>
      </w:r>
      <w:r w:rsidRPr="00173F7C">
        <w:rPr>
          <w:i/>
          <w:iCs/>
          <w:highlight w:val="yellow"/>
          <w:lang w:val="en-GB" w:eastAsia="en-AU"/>
        </w:rPr>
        <w:t>automatic/negotiated</w:t>
      </w:r>
      <w:r>
        <w:rPr>
          <w:lang w:val="en-GB" w:eastAsia="en-AU"/>
        </w:rPr>
        <w:t xml:space="preserve">] </w:t>
      </w:r>
      <w:r w:rsidRPr="00173F7C">
        <w:rPr>
          <w:i/>
          <w:iCs/>
          <w:lang w:val="en-GB" w:eastAsia="en-AU"/>
        </w:rPr>
        <w:t>access standard</w:t>
      </w:r>
      <w:r>
        <w:rPr>
          <w:lang w:val="en-GB" w:eastAsia="en-AU"/>
        </w:rPr>
        <w:t xml:space="preserve"> is:</w:t>
      </w:r>
    </w:p>
    <w:p w14:paraId="7D7B855E" w14:textId="17604172" w:rsidR="005A1DBE" w:rsidRPr="00173F7C" w:rsidRDefault="005A1DBE" w:rsidP="005A1DBE">
      <w:pPr>
        <w:pStyle w:val="ListParagraph"/>
        <w:numPr>
          <w:ilvl w:val="0"/>
          <w:numId w:val="47"/>
        </w:numPr>
        <w:rPr>
          <w:b/>
          <w:bCs w:val="0"/>
          <w:sz w:val="24"/>
          <w:szCs w:val="24"/>
          <w:lang w:val="en-GB" w:eastAsia="en-AU"/>
        </w:rPr>
      </w:pPr>
      <w:r w:rsidRPr="00173F7C">
        <w:rPr>
          <w:sz w:val="20"/>
          <w:lang w:val="en-GB" w:eastAsia="en-AU"/>
        </w:rPr>
        <w:t xml:space="preserve"> </w:t>
      </w:r>
      <w:r>
        <w:rPr>
          <w:sz w:val="20"/>
          <w:lang w:val="en-GB" w:eastAsia="en-AU"/>
        </w:rPr>
        <w:t>P</w:t>
      </w:r>
      <w:r w:rsidRPr="00173F7C">
        <w:rPr>
          <w:sz w:val="20"/>
          <w:lang w:val="en-GB" w:eastAsia="en-AU"/>
        </w:rPr>
        <w:t xml:space="preserve">rimary </w:t>
      </w:r>
      <w:r w:rsidRPr="00173F7C">
        <w:rPr>
          <w:i/>
          <w:iCs/>
          <w:sz w:val="20"/>
          <w:lang w:val="en-GB" w:eastAsia="en-AU"/>
        </w:rPr>
        <w:t>protection systems</w:t>
      </w:r>
      <w:r w:rsidRPr="00173F7C">
        <w:rPr>
          <w:sz w:val="20"/>
          <w:lang w:val="en-GB" w:eastAsia="en-AU"/>
        </w:rPr>
        <w:t xml:space="preserve"> </w:t>
      </w:r>
      <w:r>
        <w:rPr>
          <w:sz w:val="20"/>
          <w:lang w:val="en-GB" w:eastAsia="en-AU"/>
        </w:rPr>
        <w:t xml:space="preserve">must be provided </w:t>
      </w:r>
      <w:r w:rsidRPr="00173F7C">
        <w:rPr>
          <w:sz w:val="20"/>
          <w:lang w:val="en-GB" w:eastAsia="en-AU"/>
        </w:rPr>
        <w:t xml:space="preserve">to </w:t>
      </w:r>
      <w:r w:rsidRPr="00173F7C">
        <w:rPr>
          <w:i/>
          <w:iCs/>
          <w:sz w:val="20"/>
          <w:lang w:val="en-GB" w:eastAsia="en-AU"/>
        </w:rPr>
        <w:t>disconnect</w:t>
      </w:r>
      <w:r w:rsidRPr="00173F7C">
        <w:rPr>
          <w:sz w:val="20"/>
          <w:lang w:val="en-GB" w:eastAsia="en-AU"/>
        </w:rPr>
        <w:t xml:space="preserve"> </w:t>
      </w:r>
      <w:r w:rsidRPr="00721D82">
        <w:rPr>
          <w:sz w:val="20"/>
          <w:lang w:val="en-GB" w:eastAsia="en-AU"/>
        </w:rPr>
        <w:t xml:space="preserve">any faulted element </w:t>
      </w:r>
      <w:r w:rsidRPr="00173F7C">
        <w:rPr>
          <w:sz w:val="20"/>
          <w:lang w:val="en-GB" w:eastAsia="en-AU"/>
        </w:rPr>
        <w:t xml:space="preserve">from the </w:t>
      </w:r>
      <w:r w:rsidRPr="00173F7C">
        <w:rPr>
          <w:i/>
          <w:iCs/>
          <w:sz w:val="20"/>
          <w:lang w:val="en-GB" w:eastAsia="en-AU"/>
        </w:rPr>
        <w:t>power system</w:t>
      </w:r>
      <w:r w:rsidRPr="00173F7C">
        <w:rPr>
          <w:sz w:val="20"/>
          <w:lang w:val="en-GB" w:eastAsia="en-AU"/>
        </w:rPr>
        <w:t xml:space="preserve"> within the </w:t>
      </w:r>
      <w:r>
        <w:rPr>
          <w:sz w:val="20"/>
          <w:lang w:val="en-GB" w:eastAsia="en-AU"/>
        </w:rPr>
        <w:t xml:space="preserve">applicable </w:t>
      </w:r>
      <w:r w:rsidRPr="00173F7C">
        <w:rPr>
          <w:i/>
          <w:iCs/>
          <w:sz w:val="20"/>
          <w:lang w:val="en-GB" w:eastAsia="en-AU"/>
        </w:rPr>
        <w:t>fault clearance time</w:t>
      </w:r>
      <w:r w:rsidRPr="00173F7C">
        <w:rPr>
          <w:sz w:val="20"/>
          <w:lang w:val="en-GB" w:eastAsia="en-AU"/>
        </w:rPr>
        <w:t xml:space="preserve"> specified in Table 1.1.</w:t>
      </w:r>
    </w:p>
    <w:p w14:paraId="41577345" w14:textId="6B98ECCD" w:rsidR="005A1DBE" w:rsidRDefault="005A1DBE" w:rsidP="005A1DBE">
      <w:pPr>
        <w:pStyle w:val="ListParagraph"/>
        <w:numPr>
          <w:ilvl w:val="0"/>
          <w:numId w:val="47"/>
        </w:numPr>
        <w:rPr>
          <w:sz w:val="20"/>
          <w:lang w:val="en-GB" w:eastAsia="en-AU"/>
        </w:rPr>
      </w:pPr>
      <w:r w:rsidRPr="00173F7C">
        <w:rPr>
          <w:sz w:val="20"/>
          <w:lang w:val="en-GB" w:eastAsia="en-AU"/>
        </w:rPr>
        <w:t xml:space="preserve">Each primary </w:t>
      </w:r>
      <w:r w:rsidRPr="00173F7C">
        <w:rPr>
          <w:i/>
          <w:iCs/>
          <w:sz w:val="20"/>
          <w:lang w:val="en-GB" w:eastAsia="en-AU"/>
        </w:rPr>
        <w:t>protection system</w:t>
      </w:r>
      <w:r w:rsidRPr="00173F7C">
        <w:rPr>
          <w:sz w:val="20"/>
          <w:lang w:val="en-GB" w:eastAsia="en-AU"/>
        </w:rPr>
        <w:t xml:space="preserve"> must have sufficient redundancy to ensure that a faulted element within its protection zone is </w:t>
      </w:r>
      <w:r w:rsidRPr="00173F7C">
        <w:rPr>
          <w:i/>
          <w:iCs/>
          <w:sz w:val="20"/>
          <w:lang w:val="en-GB" w:eastAsia="en-AU"/>
        </w:rPr>
        <w:t>disconnected</w:t>
      </w:r>
      <w:r w:rsidRPr="00173F7C">
        <w:rPr>
          <w:sz w:val="20"/>
          <w:lang w:val="en-GB" w:eastAsia="en-AU"/>
        </w:rPr>
        <w:t xml:space="preserve"> from the </w:t>
      </w:r>
      <w:r w:rsidRPr="00173F7C">
        <w:rPr>
          <w:i/>
          <w:iCs/>
          <w:sz w:val="20"/>
          <w:lang w:val="en-GB" w:eastAsia="en-AU"/>
        </w:rPr>
        <w:t>power system</w:t>
      </w:r>
      <w:r w:rsidRPr="00173F7C">
        <w:rPr>
          <w:sz w:val="20"/>
          <w:lang w:val="en-GB" w:eastAsia="en-AU"/>
        </w:rPr>
        <w:t xml:space="preserve"> within the applicable </w:t>
      </w:r>
      <w:r w:rsidRPr="00173F7C">
        <w:rPr>
          <w:i/>
          <w:iCs/>
          <w:sz w:val="20"/>
          <w:lang w:val="en-GB" w:eastAsia="en-AU"/>
        </w:rPr>
        <w:t>fault clearance time</w:t>
      </w:r>
      <w:r w:rsidRPr="00173F7C">
        <w:rPr>
          <w:sz w:val="20"/>
          <w:lang w:val="en-GB" w:eastAsia="en-AU"/>
        </w:rPr>
        <w:t xml:space="preserve"> with any single protection element (including any communications facility upon which that </w:t>
      </w:r>
      <w:r w:rsidRPr="00173F7C">
        <w:rPr>
          <w:i/>
          <w:iCs/>
          <w:sz w:val="20"/>
          <w:lang w:val="en-GB" w:eastAsia="en-AU"/>
        </w:rPr>
        <w:t>protection system</w:t>
      </w:r>
      <w:r w:rsidRPr="00173F7C">
        <w:rPr>
          <w:sz w:val="20"/>
          <w:lang w:val="en-GB" w:eastAsia="en-AU"/>
        </w:rPr>
        <w:t xml:space="preserve"> depends) out of service.</w:t>
      </w:r>
    </w:p>
    <w:p w14:paraId="64C15DAC" w14:textId="60F4F718" w:rsidR="005C36B7" w:rsidRDefault="005C36B7" w:rsidP="005C36B7">
      <w:pPr>
        <w:pStyle w:val="ListParagraph"/>
        <w:numPr>
          <w:ilvl w:val="0"/>
          <w:numId w:val="47"/>
        </w:numPr>
        <w:rPr>
          <w:sz w:val="20"/>
          <w:lang w:val="en-GB" w:eastAsia="en-AU"/>
        </w:rPr>
      </w:pPr>
      <w:r w:rsidRPr="00173F7C">
        <w:rPr>
          <w:i/>
          <w:iCs/>
          <w:sz w:val="20"/>
          <w:lang w:val="en-GB" w:eastAsia="en-AU"/>
        </w:rPr>
        <w:t>Breaker fail protection systems</w:t>
      </w:r>
      <w:r w:rsidRPr="005C36B7">
        <w:rPr>
          <w:sz w:val="20"/>
          <w:lang w:val="en-GB" w:eastAsia="en-AU"/>
        </w:rPr>
        <w:t xml:space="preserve"> must be provided to clear faults that are not cleared by the circuit breakers controlled by the primary </w:t>
      </w:r>
      <w:r w:rsidRPr="00173F7C">
        <w:rPr>
          <w:i/>
          <w:iCs/>
          <w:sz w:val="20"/>
          <w:lang w:val="en-GB" w:eastAsia="en-AU"/>
        </w:rPr>
        <w:t>protection system</w:t>
      </w:r>
      <w:r w:rsidRPr="005C36B7">
        <w:rPr>
          <w:sz w:val="20"/>
          <w:lang w:val="en-GB" w:eastAsia="en-AU"/>
        </w:rPr>
        <w:t xml:space="preserve">, within the applicable </w:t>
      </w:r>
      <w:r w:rsidRPr="00173F7C">
        <w:rPr>
          <w:i/>
          <w:iCs/>
          <w:sz w:val="20"/>
          <w:lang w:val="en-GB" w:eastAsia="en-AU"/>
        </w:rPr>
        <w:t>fault clearance time</w:t>
      </w:r>
      <w:r>
        <w:rPr>
          <w:sz w:val="20"/>
          <w:lang w:val="en-GB" w:eastAsia="en-AU"/>
        </w:rPr>
        <w:t xml:space="preserve"> specified in Table 1.1</w:t>
      </w:r>
      <w:r w:rsidRPr="005C36B7">
        <w:rPr>
          <w:sz w:val="20"/>
          <w:lang w:val="en-GB" w:eastAsia="en-AU"/>
        </w:rPr>
        <w:t>.</w:t>
      </w:r>
    </w:p>
    <w:p w14:paraId="30B845E9" w14:textId="693C72AC" w:rsidR="005C36B7" w:rsidRDefault="005C36B7" w:rsidP="005C36B7">
      <w:pPr>
        <w:rPr>
          <w:lang w:val="en-GB" w:eastAsia="en-AU"/>
        </w:rPr>
      </w:pPr>
    </w:p>
    <w:p w14:paraId="4F08243F" w14:textId="7BDFE454" w:rsidR="005C36B7" w:rsidRPr="00173F7C" w:rsidRDefault="005C36B7" w:rsidP="00173F7C">
      <w:pPr>
        <w:pStyle w:val="ListParagraph"/>
        <w:keepNext/>
        <w:spacing w:after="120"/>
        <w:ind w:left="720"/>
        <w:jc w:val="center"/>
        <w:rPr>
          <w:szCs w:val="18"/>
        </w:rPr>
      </w:pPr>
      <w:r w:rsidRPr="002E02D7">
        <w:rPr>
          <w:szCs w:val="18"/>
        </w:rPr>
        <w:t xml:space="preserve">Table </w:t>
      </w:r>
      <w:r>
        <w:rPr>
          <w:szCs w:val="18"/>
        </w:rPr>
        <w:t>1</w:t>
      </w:r>
      <w:r w:rsidRPr="002E02D7">
        <w:rPr>
          <w:szCs w:val="18"/>
        </w:rPr>
        <w:t xml:space="preserve">.1: </w:t>
      </w:r>
      <w:r>
        <w:rPr>
          <w:szCs w:val="18"/>
        </w:rPr>
        <w:t>Protection and Breaker Fail System Fault Clearance Times</w:t>
      </w:r>
    </w:p>
    <w:tbl>
      <w:tblPr>
        <w:tblW w:w="104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3700"/>
        <w:gridCol w:w="3065"/>
      </w:tblGrid>
      <w:tr w:rsidR="005C36B7" w14:paraId="2E33E8CE" w14:textId="77777777" w:rsidTr="00173F7C">
        <w:trPr>
          <w:jc w:val="center"/>
        </w:trPr>
        <w:tc>
          <w:tcPr>
            <w:tcW w:w="3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14:paraId="64B2E367" w14:textId="77777777" w:rsidR="005C36B7" w:rsidRDefault="005C36B7" w:rsidP="00721D82">
            <w:pPr>
              <w:spacing w:before="60" w:after="60" w:line="252" w:lineRule="auto"/>
              <w:ind w:left="175"/>
              <w:jc w:val="center"/>
              <w:rPr>
                <w:b/>
                <w:bCs w:val="0"/>
              </w:rPr>
            </w:pP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4DB0B" w14:textId="603E8B06" w:rsidR="005C36B7" w:rsidRDefault="005C36B7" w:rsidP="00721D82">
            <w:pPr>
              <w:spacing w:before="60" w:after="60" w:line="252" w:lineRule="auto"/>
              <w:ind w:left="175"/>
              <w:jc w:val="center"/>
              <w:rPr>
                <w:b/>
                <w:lang w:val="en-US"/>
              </w:rPr>
            </w:pPr>
            <w:r>
              <w:rPr>
                <w:b/>
                <w:bCs w:val="0"/>
              </w:rPr>
              <w:t>[</w:t>
            </w:r>
            <w:r w:rsidRPr="00173F7C">
              <w:rPr>
                <w:b/>
                <w:bCs w:val="0"/>
                <w:highlight w:val="yellow"/>
              </w:rPr>
              <w:t xml:space="preserve">Connection </w:t>
            </w:r>
            <w:r w:rsidRPr="005C36B7">
              <w:rPr>
                <w:b/>
                <w:bCs w:val="0"/>
                <w:highlight w:val="yellow"/>
              </w:rPr>
              <w:t>Voltage</w:t>
            </w:r>
            <w:r>
              <w:rPr>
                <w:b/>
                <w:bCs w:val="0"/>
              </w:rPr>
              <w:t>] kV</w:t>
            </w:r>
          </w:p>
        </w:tc>
        <w:tc>
          <w:tcPr>
            <w:tcW w:w="3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405EC" w14:textId="77D92DC2" w:rsidR="005C36B7" w:rsidRDefault="005C36B7" w:rsidP="00721D82">
            <w:pPr>
              <w:spacing w:before="60" w:after="60" w:line="252" w:lineRule="auto"/>
              <w:ind w:left="175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[</w:t>
            </w:r>
            <w:r w:rsidRPr="00173F7C">
              <w:rPr>
                <w:b/>
                <w:bCs w:val="0"/>
                <w:highlight w:val="yellow"/>
              </w:rPr>
              <w:t xml:space="preserve">Other </w:t>
            </w:r>
            <w:r w:rsidRPr="005C36B7">
              <w:rPr>
                <w:b/>
                <w:bCs w:val="0"/>
                <w:highlight w:val="yellow"/>
              </w:rPr>
              <w:t>Voltage</w:t>
            </w:r>
            <w:r w:rsidRPr="00173F7C">
              <w:rPr>
                <w:b/>
                <w:bCs w:val="0"/>
                <w:highlight w:val="yellow"/>
              </w:rPr>
              <w:t>s</w:t>
            </w:r>
            <w:r>
              <w:rPr>
                <w:b/>
                <w:bCs w:val="0"/>
              </w:rPr>
              <w:t>] kV</w:t>
            </w:r>
          </w:p>
        </w:tc>
      </w:tr>
      <w:tr w:rsidR="005C36B7" w14:paraId="62A8687F" w14:textId="77777777" w:rsidTr="00173F7C">
        <w:trPr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60BF3" w14:textId="2B34E7DC" w:rsidR="005C36B7" w:rsidRPr="00173F7C" w:rsidRDefault="005C36B7" w:rsidP="00721D82">
            <w:pPr>
              <w:spacing w:before="60" w:after="60" w:line="252" w:lineRule="auto"/>
              <w:ind w:left="176"/>
              <w:jc w:val="center"/>
              <w:rPr>
                <w:i/>
                <w:iCs/>
              </w:rPr>
            </w:pPr>
            <w:r>
              <w:t xml:space="preserve">Primary </w:t>
            </w:r>
            <w:r>
              <w:rPr>
                <w:i/>
                <w:iCs/>
              </w:rPr>
              <w:t>protection systems</w:t>
            </w: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6F7E9" w14:textId="6FC912BA" w:rsidR="005C36B7" w:rsidRDefault="005C36B7" w:rsidP="00721D82">
            <w:pPr>
              <w:spacing w:before="60" w:after="60" w:line="252" w:lineRule="auto"/>
              <w:ind w:left="176"/>
              <w:jc w:val="center"/>
              <w:rPr>
                <w:bCs w:val="0"/>
              </w:rPr>
            </w:pPr>
            <w:r>
              <w:rPr>
                <w:bCs w:val="0"/>
              </w:rPr>
              <w:t>[</w:t>
            </w:r>
            <w:r w:rsidRPr="00DD0783">
              <w:rPr>
                <w:bCs w:val="0"/>
                <w:highlight w:val="yellow"/>
              </w:rPr>
              <w:t>TBC</w:t>
            </w:r>
            <w:r>
              <w:rPr>
                <w:bCs w:val="0"/>
              </w:rPr>
              <w:t xml:space="preserve">] </w:t>
            </w:r>
            <w:proofErr w:type="spellStart"/>
            <w:r>
              <w:rPr>
                <w:bCs w:val="0"/>
              </w:rPr>
              <w:t>ms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6DA7" w14:textId="455381B7" w:rsidR="005C36B7" w:rsidRDefault="005C36B7" w:rsidP="00721D82">
            <w:pPr>
              <w:spacing w:before="60" w:after="60" w:line="252" w:lineRule="auto"/>
              <w:ind w:left="176"/>
              <w:jc w:val="center"/>
            </w:pPr>
            <w:r>
              <w:rPr>
                <w:bCs w:val="0"/>
              </w:rPr>
              <w:t>[</w:t>
            </w:r>
            <w:r w:rsidRPr="00721D82">
              <w:rPr>
                <w:bCs w:val="0"/>
                <w:highlight w:val="yellow"/>
              </w:rPr>
              <w:t>TBC</w:t>
            </w:r>
            <w:r>
              <w:rPr>
                <w:bCs w:val="0"/>
              </w:rPr>
              <w:t xml:space="preserve">] </w:t>
            </w:r>
            <w:proofErr w:type="spellStart"/>
            <w:r>
              <w:rPr>
                <w:bCs w:val="0"/>
              </w:rPr>
              <w:t>ms</w:t>
            </w:r>
            <w:proofErr w:type="spellEnd"/>
          </w:p>
        </w:tc>
      </w:tr>
      <w:tr w:rsidR="005C36B7" w14:paraId="33E00D43" w14:textId="77777777" w:rsidTr="00173F7C">
        <w:trPr>
          <w:jc w:val="center"/>
        </w:trPr>
        <w:tc>
          <w:tcPr>
            <w:tcW w:w="3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80C18" w14:textId="7F428CC8" w:rsidR="005C36B7" w:rsidRPr="00DD0783" w:rsidRDefault="005C36B7" w:rsidP="00721D82">
            <w:pPr>
              <w:spacing w:before="60" w:after="60" w:line="252" w:lineRule="auto"/>
              <w:ind w:left="176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Breaker fail protection systems</w:t>
            </w:r>
          </w:p>
        </w:tc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BF41" w14:textId="5C740B49" w:rsidR="005C36B7" w:rsidRDefault="005C36B7" w:rsidP="00721D82">
            <w:pPr>
              <w:spacing w:before="60" w:after="60" w:line="252" w:lineRule="auto"/>
              <w:ind w:left="176"/>
              <w:jc w:val="center"/>
            </w:pPr>
            <w:r>
              <w:rPr>
                <w:bCs w:val="0"/>
              </w:rPr>
              <w:t>[</w:t>
            </w:r>
            <w:r w:rsidRPr="00721D82">
              <w:rPr>
                <w:bCs w:val="0"/>
                <w:highlight w:val="yellow"/>
              </w:rPr>
              <w:t>TBC</w:t>
            </w:r>
            <w:r>
              <w:rPr>
                <w:bCs w:val="0"/>
              </w:rPr>
              <w:t xml:space="preserve">] </w:t>
            </w:r>
            <w:proofErr w:type="spellStart"/>
            <w:r>
              <w:rPr>
                <w:bCs w:val="0"/>
              </w:rPr>
              <w:t>ms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08C4" w14:textId="5A446082" w:rsidR="005C36B7" w:rsidRDefault="005C36B7" w:rsidP="00721D82">
            <w:pPr>
              <w:spacing w:before="60" w:after="60" w:line="252" w:lineRule="auto"/>
              <w:ind w:left="176"/>
              <w:jc w:val="center"/>
            </w:pPr>
            <w:r>
              <w:rPr>
                <w:bCs w:val="0"/>
              </w:rPr>
              <w:t>[</w:t>
            </w:r>
            <w:r w:rsidRPr="00721D82">
              <w:rPr>
                <w:bCs w:val="0"/>
                <w:highlight w:val="yellow"/>
              </w:rPr>
              <w:t>TBC</w:t>
            </w:r>
            <w:r>
              <w:rPr>
                <w:bCs w:val="0"/>
              </w:rPr>
              <w:t xml:space="preserve">] </w:t>
            </w:r>
            <w:proofErr w:type="spellStart"/>
            <w:r>
              <w:rPr>
                <w:bCs w:val="0"/>
              </w:rPr>
              <w:t>ms</w:t>
            </w:r>
            <w:proofErr w:type="spellEnd"/>
          </w:p>
        </w:tc>
      </w:tr>
    </w:tbl>
    <w:p w14:paraId="1F066EA2" w14:textId="77777777" w:rsidR="005C36B7" w:rsidRPr="005C36B7" w:rsidRDefault="005C36B7" w:rsidP="00DD0783">
      <w:pPr>
        <w:rPr>
          <w:lang w:val="en-GB" w:eastAsia="en-AU"/>
        </w:rPr>
      </w:pPr>
    </w:p>
    <w:p w14:paraId="180AAA11" w14:textId="524A0A57" w:rsidR="005A1DBE" w:rsidRPr="005A1DBE" w:rsidRDefault="005A1DBE" w:rsidP="00DD0783">
      <w:pPr>
        <w:pStyle w:val="ListParagraph"/>
        <w:numPr>
          <w:ilvl w:val="0"/>
          <w:numId w:val="47"/>
        </w:numPr>
        <w:rPr>
          <w:b/>
          <w:bCs w:val="0"/>
          <w:sz w:val="24"/>
          <w:szCs w:val="24"/>
          <w:lang w:val="en-GB" w:eastAsia="en-AU"/>
        </w:rPr>
      </w:pPr>
      <w:r w:rsidRPr="005A1DBE">
        <w:rPr>
          <w:b/>
          <w:bCs w:val="0"/>
          <w:sz w:val="24"/>
          <w:szCs w:val="24"/>
          <w:lang w:val="en-GB" w:eastAsia="en-AU"/>
        </w:rPr>
        <w:br w:type="page"/>
      </w:r>
    </w:p>
    <w:p w14:paraId="6FC79C6F" w14:textId="77777777" w:rsidR="005A1DBE" w:rsidRDefault="005A1DBE" w:rsidP="00672FC0">
      <w:pPr>
        <w:pStyle w:val="BodyText"/>
        <w:rPr>
          <w:b/>
          <w:bCs w:val="0"/>
          <w:sz w:val="24"/>
          <w:szCs w:val="24"/>
          <w:lang w:val="en-GB" w:eastAsia="en-AU"/>
        </w:rPr>
      </w:pPr>
    </w:p>
    <w:p w14:paraId="75DE0D06" w14:textId="77777777" w:rsidR="005A1DBE" w:rsidRDefault="005A1DBE" w:rsidP="00672FC0">
      <w:pPr>
        <w:pStyle w:val="BodyText"/>
        <w:rPr>
          <w:b/>
          <w:bCs w:val="0"/>
          <w:sz w:val="24"/>
          <w:szCs w:val="24"/>
          <w:lang w:val="en-GB" w:eastAsia="en-AU"/>
        </w:rPr>
      </w:pPr>
    </w:p>
    <w:p w14:paraId="1E02DA11" w14:textId="77777777" w:rsidR="005A1DBE" w:rsidRDefault="005A1DBE" w:rsidP="00672FC0">
      <w:pPr>
        <w:pStyle w:val="BodyText"/>
        <w:rPr>
          <w:b/>
          <w:bCs w:val="0"/>
          <w:sz w:val="24"/>
          <w:szCs w:val="24"/>
          <w:lang w:val="en-GB" w:eastAsia="en-AU"/>
        </w:rPr>
      </w:pPr>
    </w:p>
    <w:p w14:paraId="7159F7D9" w14:textId="4E473D2E" w:rsidR="003D7B47" w:rsidRPr="00836A4C" w:rsidRDefault="003D7B47" w:rsidP="00672FC0">
      <w:pPr>
        <w:pStyle w:val="BodyText"/>
        <w:rPr>
          <w:b/>
          <w:bCs w:val="0"/>
          <w:sz w:val="24"/>
          <w:szCs w:val="24"/>
          <w:lang w:val="en-GB" w:eastAsia="en-AU"/>
        </w:rPr>
      </w:pPr>
      <w:r w:rsidRPr="00836A4C">
        <w:rPr>
          <w:b/>
          <w:bCs w:val="0"/>
          <w:sz w:val="24"/>
          <w:szCs w:val="24"/>
          <w:lang w:val="en-GB" w:eastAsia="en-AU"/>
        </w:rPr>
        <w:t xml:space="preserve">Appendix </w:t>
      </w:r>
      <w:r w:rsidR="005A1DBE">
        <w:rPr>
          <w:b/>
          <w:bCs w:val="0"/>
          <w:sz w:val="24"/>
          <w:szCs w:val="24"/>
          <w:lang w:val="en-GB" w:eastAsia="en-AU"/>
        </w:rPr>
        <w:t>2</w:t>
      </w:r>
      <w:r w:rsidRPr="00836A4C">
        <w:rPr>
          <w:b/>
          <w:bCs w:val="0"/>
          <w:sz w:val="24"/>
          <w:szCs w:val="24"/>
          <w:lang w:val="en-GB" w:eastAsia="en-AU"/>
        </w:rPr>
        <w:t>:</w:t>
      </w:r>
      <w:r w:rsidR="00DD7C7A" w:rsidRPr="00836A4C">
        <w:rPr>
          <w:b/>
          <w:bCs w:val="0"/>
          <w:sz w:val="24"/>
          <w:szCs w:val="24"/>
          <w:lang w:val="en-GB" w:eastAsia="en-AU"/>
        </w:rPr>
        <w:t xml:space="preserve"> S5.3.7 Voltage Fluctuations</w:t>
      </w:r>
    </w:p>
    <w:p w14:paraId="4EA424E5" w14:textId="57C4FD23" w:rsidR="00DD7C7A" w:rsidRDefault="00DD7C7A" w:rsidP="00672FC0">
      <w:pPr>
        <w:pStyle w:val="BodyText"/>
        <w:rPr>
          <w:lang w:val="en-GB" w:eastAsia="en-AU"/>
        </w:rPr>
      </w:pPr>
    </w:p>
    <w:p w14:paraId="3B300740" w14:textId="5C5EA697" w:rsidR="00DD7C7A" w:rsidRDefault="00DD7C7A" w:rsidP="00672FC0">
      <w:pPr>
        <w:pStyle w:val="BodyText"/>
        <w:rPr>
          <w:lang w:val="en-GB" w:eastAsia="en-AU"/>
        </w:rPr>
      </w:pPr>
      <w:r>
        <w:rPr>
          <w:lang w:val="en-GB" w:eastAsia="en-AU"/>
        </w:rPr>
        <w:t xml:space="preserve">The </w:t>
      </w:r>
      <w:r>
        <w:rPr>
          <w:i/>
          <w:iCs/>
          <w:lang w:val="en-GB" w:eastAsia="en-AU"/>
        </w:rPr>
        <w:t>plant</w:t>
      </w:r>
      <w:r>
        <w:rPr>
          <w:lang w:val="en-GB" w:eastAsia="en-AU"/>
        </w:rPr>
        <w:t xml:space="preserve"> must not produce at the </w:t>
      </w:r>
      <w:r>
        <w:rPr>
          <w:i/>
          <w:iCs/>
          <w:lang w:val="en-GB" w:eastAsia="en-AU"/>
        </w:rPr>
        <w:t>connection point</w:t>
      </w:r>
      <w:r>
        <w:rPr>
          <w:lang w:val="en-GB" w:eastAsia="en-AU"/>
        </w:rPr>
        <w:t>:</w:t>
      </w:r>
    </w:p>
    <w:p w14:paraId="3629E58B" w14:textId="1C83F7D6" w:rsidR="00DD7C7A" w:rsidRDefault="00DD7C7A" w:rsidP="00DD7C7A">
      <w:pPr>
        <w:pStyle w:val="BodyText"/>
        <w:numPr>
          <w:ilvl w:val="0"/>
          <w:numId w:val="46"/>
        </w:numPr>
        <w:rPr>
          <w:lang w:val="en-GB" w:eastAsia="en-AU"/>
        </w:rPr>
      </w:pPr>
      <w:r>
        <w:rPr>
          <w:lang w:val="en-GB" w:eastAsia="en-AU"/>
        </w:rPr>
        <w:t xml:space="preserve">Low Frequency </w:t>
      </w:r>
      <w:r>
        <w:rPr>
          <w:i/>
          <w:iCs/>
          <w:lang w:val="en-GB" w:eastAsia="en-AU"/>
        </w:rPr>
        <w:t>Voltage</w:t>
      </w:r>
      <w:r>
        <w:rPr>
          <w:lang w:val="en-GB" w:eastAsia="en-AU"/>
        </w:rPr>
        <w:t xml:space="preserve"> </w:t>
      </w:r>
      <w:r w:rsidR="002E02D7">
        <w:rPr>
          <w:lang w:val="en-GB" w:eastAsia="en-AU"/>
        </w:rPr>
        <w:t>Fluctuations</w:t>
      </w:r>
      <w:r>
        <w:rPr>
          <w:lang w:val="en-GB" w:eastAsia="en-AU"/>
        </w:rPr>
        <w:t xml:space="preserve"> greater than the limits specified in Table </w:t>
      </w:r>
      <w:proofErr w:type="gramStart"/>
      <w:r w:rsidR="005A1DBE">
        <w:rPr>
          <w:lang w:val="en-GB" w:eastAsia="en-AU"/>
        </w:rPr>
        <w:t>2</w:t>
      </w:r>
      <w:r>
        <w:rPr>
          <w:lang w:val="en-GB" w:eastAsia="en-AU"/>
        </w:rPr>
        <w:t>.1;</w:t>
      </w:r>
      <w:proofErr w:type="gramEnd"/>
    </w:p>
    <w:p w14:paraId="36AF93D9" w14:textId="259A8557" w:rsidR="00DD7C7A" w:rsidRDefault="00DD7C7A" w:rsidP="00DD7C7A">
      <w:pPr>
        <w:pStyle w:val="BodyText"/>
        <w:rPr>
          <w:lang w:val="en-GB" w:eastAsia="en-AU"/>
        </w:rPr>
      </w:pPr>
    </w:p>
    <w:p w14:paraId="33FA22C3" w14:textId="3AD889CB" w:rsidR="00DD7C7A" w:rsidRPr="002E02D7" w:rsidRDefault="00DD7C7A" w:rsidP="002E02D7">
      <w:pPr>
        <w:pStyle w:val="ListParagraph"/>
        <w:keepNext/>
        <w:spacing w:after="120"/>
        <w:ind w:left="720"/>
        <w:jc w:val="center"/>
        <w:rPr>
          <w:szCs w:val="18"/>
        </w:rPr>
      </w:pPr>
      <w:r w:rsidRPr="002E02D7">
        <w:rPr>
          <w:szCs w:val="18"/>
        </w:rPr>
        <w:t xml:space="preserve">Table </w:t>
      </w:r>
      <w:r w:rsidR="005A1DBE">
        <w:rPr>
          <w:szCs w:val="18"/>
        </w:rPr>
        <w:t>2</w:t>
      </w:r>
      <w:r w:rsidRPr="002E02D7">
        <w:rPr>
          <w:szCs w:val="18"/>
        </w:rPr>
        <w:t xml:space="preserve">.1: </w:t>
      </w:r>
      <w:r w:rsidR="0012046F">
        <w:rPr>
          <w:szCs w:val="18"/>
        </w:rPr>
        <w:t>[</w:t>
      </w:r>
      <w:r w:rsidR="0012046F" w:rsidRPr="00434C5C">
        <w:rPr>
          <w:i/>
          <w:iCs/>
          <w:szCs w:val="18"/>
          <w:highlight w:val="yellow"/>
        </w:rPr>
        <w:t>Automatic/Negotiated</w:t>
      </w:r>
      <w:r w:rsidR="0012046F">
        <w:rPr>
          <w:i/>
          <w:iCs/>
          <w:szCs w:val="18"/>
        </w:rPr>
        <w:t>] Access Standard</w:t>
      </w:r>
      <w:r w:rsidR="0012046F">
        <w:rPr>
          <w:szCs w:val="18"/>
        </w:rPr>
        <w:t xml:space="preserve"> </w:t>
      </w:r>
      <w:r w:rsidRPr="002E02D7">
        <w:rPr>
          <w:szCs w:val="18"/>
        </w:rPr>
        <w:t>Low Frequency Voltage Fluctuation Limits (system normal)</w:t>
      </w:r>
    </w:p>
    <w:tbl>
      <w:tblPr>
        <w:tblW w:w="6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3095"/>
      </w:tblGrid>
      <w:tr w:rsidR="00DD7C7A" w14:paraId="7D152483" w14:textId="77777777" w:rsidTr="002E02D7">
        <w:trPr>
          <w:jc w:val="center"/>
        </w:trPr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22E2F" w14:textId="77777777" w:rsidR="00DD7C7A" w:rsidRDefault="00DD7C7A" w:rsidP="003B24FF">
            <w:pPr>
              <w:spacing w:before="60" w:after="60" w:line="252" w:lineRule="auto"/>
              <w:ind w:left="175"/>
              <w:jc w:val="center"/>
              <w:rPr>
                <w:b/>
                <w:lang w:val="en-US"/>
              </w:rPr>
            </w:pPr>
            <w:r>
              <w:rPr>
                <w:b/>
                <w:bCs w:val="0"/>
              </w:rPr>
              <w:t>Voltage Changes Per Hour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2A448" w14:textId="77777777" w:rsidR="00DD7C7A" w:rsidRDefault="00DD7C7A" w:rsidP="003B24FF">
            <w:pPr>
              <w:spacing w:before="60" w:after="60" w:line="252" w:lineRule="auto"/>
              <w:ind w:left="175"/>
              <w:jc w:val="center"/>
              <w:rPr>
                <w:b/>
                <w:bCs w:val="0"/>
              </w:rPr>
            </w:pPr>
            <w:r>
              <w:rPr>
                <w:b/>
                <w:bCs w:val="0"/>
                <w:color w:val="000000"/>
              </w:rPr>
              <w:t>Magnitude</w:t>
            </w:r>
            <w:r>
              <w:rPr>
                <w:b/>
                <w:bCs w:val="0"/>
                <w:snapToGrid w:val="0"/>
                <w:color w:val="000000"/>
              </w:rPr>
              <w:t xml:space="preserve"> (%) of actual kV</w:t>
            </w:r>
          </w:p>
        </w:tc>
      </w:tr>
      <w:tr w:rsidR="00DD7C7A" w14:paraId="1D07D69B" w14:textId="77777777" w:rsidTr="002E02D7">
        <w:trPr>
          <w:jc w:val="center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A4EF" w14:textId="77777777" w:rsidR="00DD7C7A" w:rsidRDefault="00DD7C7A" w:rsidP="003B24FF">
            <w:pPr>
              <w:spacing w:before="60" w:after="60" w:line="252" w:lineRule="auto"/>
              <w:ind w:left="176"/>
              <w:jc w:val="center"/>
              <w:rPr>
                <w:bCs w:val="0"/>
              </w:rPr>
            </w:pPr>
            <w:r>
              <w:t>≤1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23BAA" w14:textId="63073709" w:rsidR="00DD7C7A" w:rsidRDefault="00DD7C7A" w:rsidP="003B24FF">
            <w:pPr>
              <w:spacing w:before="60" w:after="60" w:line="252" w:lineRule="auto"/>
              <w:ind w:left="176"/>
              <w:jc w:val="center"/>
            </w:pPr>
            <w:r>
              <w:t>≤[</w:t>
            </w:r>
            <w:r w:rsidRPr="00434C5C">
              <w:rPr>
                <w:highlight w:val="yellow"/>
              </w:rPr>
              <w:t>LIMIT</w:t>
            </w:r>
            <w:r>
              <w:t>]</w:t>
            </w:r>
          </w:p>
        </w:tc>
      </w:tr>
      <w:tr w:rsidR="00DD7C7A" w14:paraId="549B0A82" w14:textId="77777777" w:rsidTr="002E02D7">
        <w:trPr>
          <w:jc w:val="center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0B6DF" w14:textId="77777777" w:rsidR="00DD7C7A" w:rsidRDefault="00DD7C7A" w:rsidP="003B24FF">
            <w:pPr>
              <w:spacing w:before="60" w:after="60" w:line="252" w:lineRule="auto"/>
              <w:ind w:left="176"/>
              <w:jc w:val="center"/>
            </w:pPr>
            <w:r>
              <w:t>&gt;1 or ≤10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47C8E" w14:textId="6C49E69C" w:rsidR="00DD7C7A" w:rsidRDefault="00DD7C7A" w:rsidP="003B24FF">
            <w:pPr>
              <w:spacing w:before="60" w:after="60" w:line="252" w:lineRule="auto"/>
              <w:ind w:left="176"/>
              <w:jc w:val="center"/>
            </w:pPr>
            <w:r>
              <w:t>≤[</w:t>
            </w:r>
            <w:r w:rsidRPr="00434C5C">
              <w:rPr>
                <w:highlight w:val="yellow"/>
              </w:rPr>
              <w:t>LIMIT</w:t>
            </w:r>
            <w:r>
              <w:t>]</w:t>
            </w:r>
          </w:p>
        </w:tc>
      </w:tr>
      <w:tr w:rsidR="00DD7C7A" w14:paraId="449F483D" w14:textId="77777777" w:rsidTr="002E02D7">
        <w:trPr>
          <w:jc w:val="center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EFC89" w14:textId="77777777" w:rsidR="00DD7C7A" w:rsidRDefault="00DD7C7A" w:rsidP="003B24FF">
            <w:pPr>
              <w:spacing w:before="60" w:after="60" w:line="252" w:lineRule="auto"/>
              <w:ind w:left="176"/>
              <w:jc w:val="center"/>
            </w:pPr>
            <w:r>
              <w:t>&gt;10 or ≤100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AEF69" w14:textId="4FF776A3" w:rsidR="00DD7C7A" w:rsidRDefault="00DD7C7A" w:rsidP="003B24FF">
            <w:pPr>
              <w:spacing w:before="60" w:after="60" w:line="252" w:lineRule="auto"/>
              <w:ind w:left="176"/>
              <w:jc w:val="center"/>
            </w:pPr>
            <w:r>
              <w:t>≤[</w:t>
            </w:r>
            <w:r w:rsidRPr="00434C5C">
              <w:rPr>
                <w:highlight w:val="yellow"/>
              </w:rPr>
              <w:t>LIMIT</w:t>
            </w:r>
            <w:r>
              <w:t>]</w:t>
            </w:r>
          </w:p>
        </w:tc>
      </w:tr>
      <w:tr w:rsidR="00DD7C7A" w14:paraId="6DBE3FE9" w14:textId="77777777" w:rsidTr="002E02D7">
        <w:trPr>
          <w:jc w:val="center"/>
        </w:trPr>
        <w:tc>
          <w:tcPr>
            <w:tcW w:w="3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335BC" w14:textId="77777777" w:rsidR="00DD7C7A" w:rsidRDefault="00DD7C7A" w:rsidP="003B24FF">
            <w:pPr>
              <w:spacing w:before="60" w:after="60" w:line="252" w:lineRule="auto"/>
              <w:ind w:left="176"/>
              <w:jc w:val="center"/>
            </w:pPr>
            <w:r>
              <w:t>&gt;100 or ≤1000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4483" w14:textId="019E3B0E" w:rsidR="00DD7C7A" w:rsidRDefault="00DD7C7A" w:rsidP="003B24FF">
            <w:pPr>
              <w:spacing w:before="60" w:after="60" w:line="252" w:lineRule="auto"/>
              <w:ind w:left="176"/>
              <w:jc w:val="center"/>
            </w:pPr>
            <w:r>
              <w:t>≤[</w:t>
            </w:r>
            <w:r w:rsidRPr="00434C5C">
              <w:rPr>
                <w:highlight w:val="yellow"/>
              </w:rPr>
              <w:t>LIMIT</w:t>
            </w:r>
            <w:r>
              <w:t>]</w:t>
            </w:r>
          </w:p>
        </w:tc>
      </w:tr>
    </w:tbl>
    <w:p w14:paraId="761E1A4B" w14:textId="77777777" w:rsidR="00DD7C7A" w:rsidRDefault="00DD7C7A" w:rsidP="002E02D7">
      <w:pPr>
        <w:pStyle w:val="BodyText"/>
        <w:rPr>
          <w:lang w:val="en-GB" w:eastAsia="en-AU"/>
        </w:rPr>
      </w:pPr>
    </w:p>
    <w:p w14:paraId="7B310016" w14:textId="57D2EE04" w:rsidR="00DD7C7A" w:rsidRDefault="00DD7C7A" w:rsidP="00DD7C7A">
      <w:pPr>
        <w:pStyle w:val="BodyText"/>
        <w:numPr>
          <w:ilvl w:val="0"/>
          <w:numId w:val="46"/>
        </w:numPr>
        <w:rPr>
          <w:lang w:val="en-GB" w:eastAsia="en-AU"/>
        </w:rPr>
      </w:pPr>
      <w:r w:rsidRPr="002E02D7">
        <w:rPr>
          <w:i/>
          <w:iCs/>
          <w:lang w:val="en-GB" w:eastAsia="en-AU"/>
        </w:rPr>
        <w:t>Voltage</w:t>
      </w:r>
      <w:r>
        <w:rPr>
          <w:lang w:val="en-GB" w:eastAsia="en-AU"/>
        </w:rPr>
        <w:t xml:space="preserve"> Fluctuations greater than the limits specified in Table </w:t>
      </w:r>
      <w:r w:rsidR="005A1DBE">
        <w:rPr>
          <w:lang w:val="en-GB" w:eastAsia="en-AU"/>
        </w:rPr>
        <w:t>2</w:t>
      </w:r>
      <w:r>
        <w:rPr>
          <w:lang w:val="en-GB" w:eastAsia="en-AU"/>
        </w:rPr>
        <w:t>.2</w:t>
      </w:r>
      <w:r w:rsidR="00E8474C">
        <w:rPr>
          <w:lang w:val="en-GB" w:eastAsia="en-AU"/>
        </w:rPr>
        <w:t xml:space="preserve"> where flicker will be measured in accordance with AS/NZS 61000.3.7:2001</w:t>
      </w:r>
      <w:r>
        <w:rPr>
          <w:lang w:val="en-GB" w:eastAsia="en-AU"/>
        </w:rPr>
        <w:t>.</w:t>
      </w:r>
    </w:p>
    <w:p w14:paraId="3CFBB693" w14:textId="21607A67" w:rsidR="0000406F" w:rsidRPr="0000406F" w:rsidRDefault="0000406F" w:rsidP="002E02D7">
      <w:pPr>
        <w:pStyle w:val="ListParagraph"/>
        <w:keepNext/>
        <w:spacing w:after="120"/>
        <w:ind w:left="720"/>
        <w:jc w:val="center"/>
        <w:rPr>
          <w:bCs w:val="0"/>
          <w:szCs w:val="18"/>
        </w:rPr>
      </w:pPr>
      <w:r w:rsidRPr="0000406F">
        <w:rPr>
          <w:szCs w:val="18"/>
        </w:rPr>
        <w:t xml:space="preserve">Table </w:t>
      </w:r>
      <w:r w:rsidR="005A1DBE">
        <w:rPr>
          <w:szCs w:val="18"/>
        </w:rPr>
        <w:t>2</w:t>
      </w:r>
      <w:r w:rsidRPr="0000406F">
        <w:rPr>
          <w:szCs w:val="18"/>
        </w:rPr>
        <w:t xml:space="preserve">.2: </w:t>
      </w:r>
      <w:r w:rsidR="0012046F">
        <w:rPr>
          <w:szCs w:val="18"/>
        </w:rPr>
        <w:t>[</w:t>
      </w:r>
      <w:r w:rsidR="0012046F" w:rsidRPr="00434C5C">
        <w:rPr>
          <w:i/>
          <w:iCs/>
          <w:szCs w:val="18"/>
          <w:highlight w:val="yellow"/>
        </w:rPr>
        <w:t>Automatic/Negotiated</w:t>
      </w:r>
      <w:r w:rsidR="0012046F">
        <w:rPr>
          <w:i/>
          <w:iCs/>
          <w:szCs w:val="18"/>
        </w:rPr>
        <w:t>] Access Standard</w:t>
      </w:r>
      <w:r w:rsidR="0012046F">
        <w:rPr>
          <w:szCs w:val="18"/>
        </w:rPr>
        <w:t xml:space="preserve"> </w:t>
      </w:r>
      <w:r w:rsidRPr="0000406F">
        <w:rPr>
          <w:szCs w:val="18"/>
        </w:rPr>
        <w:t xml:space="preserve">Flicker </w:t>
      </w:r>
      <w:r w:rsidRPr="0000406F">
        <w:rPr>
          <w:i/>
          <w:iCs/>
          <w:szCs w:val="18"/>
        </w:rPr>
        <w:t>Voltage</w:t>
      </w:r>
      <w:r w:rsidRPr="0000406F">
        <w:rPr>
          <w:szCs w:val="18"/>
        </w:rPr>
        <w:t xml:space="preserve"> Fluctuation </w:t>
      </w:r>
      <w:r w:rsidRPr="002E02D7">
        <w:rPr>
          <w:szCs w:val="18"/>
        </w:rPr>
        <w:t>Limits</w:t>
      </w:r>
      <w:r w:rsidRPr="0000406F">
        <w:rPr>
          <w:szCs w:val="18"/>
        </w:rPr>
        <w:t xml:space="preserve"> (system normal)</w:t>
      </w:r>
    </w:p>
    <w:tbl>
      <w:tblPr>
        <w:tblW w:w="3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2120"/>
      </w:tblGrid>
      <w:tr w:rsidR="002E02D7" w14:paraId="043B460D" w14:textId="77777777" w:rsidTr="002E02D7">
        <w:trPr>
          <w:trHeight w:val="264"/>
          <w:jc w:val="center"/>
        </w:trPr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97ECA9" w14:textId="77777777" w:rsidR="0000406F" w:rsidRDefault="0000406F" w:rsidP="003B24FF">
            <w:pPr>
              <w:jc w:val="center"/>
              <w:rPr>
                <w:rFonts w:ascii="Arial" w:hAnsi="Arial" w:cs="Arial"/>
                <w:b/>
                <w:bCs w:val="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 w:val="0"/>
              </w:rPr>
              <w:t>P</w:t>
            </w:r>
            <w:r w:rsidRPr="002E02D7">
              <w:rPr>
                <w:rFonts w:ascii="Arial" w:hAnsi="Arial" w:cs="Arial"/>
                <w:b/>
                <w:bCs w:val="0"/>
                <w:vertAlign w:val="subscript"/>
              </w:rPr>
              <w:t>st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EDF45" w14:textId="6F05D676" w:rsidR="0000406F" w:rsidRDefault="0000406F" w:rsidP="003B24FF">
            <w:pPr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[</w:t>
            </w:r>
            <w:r w:rsidRPr="00434C5C">
              <w:rPr>
                <w:rFonts w:ascii="Arial" w:hAnsi="Arial" w:cs="Arial"/>
                <w:bCs w:val="0"/>
                <w:highlight w:val="yellow"/>
              </w:rPr>
              <w:t>LIMIT</w:t>
            </w:r>
            <w:r>
              <w:rPr>
                <w:rFonts w:ascii="Arial" w:hAnsi="Arial" w:cs="Arial"/>
                <w:bCs w:val="0"/>
              </w:rPr>
              <w:t>]</w:t>
            </w:r>
          </w:p>
        </w:tc>
      </w:tr>
      <w:tr w:rsidR="002E02D7" w14:paraId="3345F1B2" w14:textId="77777777" w:rsidTr="002E02D7">
        <w:trPr>
          <w:trHeight w:val="276"/>
          <w:jc w:val="center"/>
        </w:trPr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B9F586" w14:textId="77777777" w:rsidR="0000406F" w:rsidRDefault="0000406F" w:rsidP="003B24F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bCs w:val="0"/>
              </w:rPr>
              <w:t>P</w:t>
            </w:r>
            <w:r w:rsidRPr="002E02D7">
              <w:rPr>
                <w:rFonts w:ascii="Arial" w:hAnsi="Arial" w:cs="Arial"/>
                <w:b/>
                <w:bCs w:val="0"/>
                <w:vertAlign w:val="subscript"/>
              </w:rPr>
              <w:t>lt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CFECD" w14:textId="42AE3032" w:rsidR="0000406F" w:rsidRDefault="0000406F" w:rsidP="003B24FF">
            <w:pPr>
              <w:jc w:val="right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>[</w:t>
            </w:r>
            <w:r w:rsidRPr="00434C5C">
              <w:rPr>
                <w:rFonts w:ascii="Arial" w:hAnsi="Arial" w:cs="Arial"/>
                <w:highlight w:val="yellow"/>
              </w:rPr>
              <w:t>LIMIT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49829AD8" w14:textId="47890E5A" w:rsidR="002E02D7" w:rsidRDefault="002E02D7" w:rsidP="0000406F">
      <w:pPr>
        <w:pStyle w:val="BodyText"/>
        <w:rPr>
          <w:lang w:val="en-GB" w:eastAsia="en-AU"/>
        </w:rPr>
      </w:pPr>
    </w:p>
    <w:p w14:paraId="6FF87094" w14:textId="77777777" w:rsidR="002E02D7" w:rsidRDefault="002E02D7">
      <w:pPr>
        <w:rPr>
          <w:lang w:val="en-GB" w:eastAsia="en-AU"/>
        </w:rPr>
      </w:pPr>
      <w:r>
        <w:rPr>
          <w:lang w:val="en-GB" w:eastAsia="en-AU"/>
        </w:rPr>
        <w:br w:type="page"/>
      </w:r>
    </w:p>
    <w:p w14:paraId="7A97E61A" w14:textId="77777777" w:rsidR="002E02D7" w:rsidRDefault="002E02D7" w:rsidP="002E02D7">
      <w:pPr>
        <w:pStyle w:val="BodyText"/>
        <w:rPr>
          <w:lang w:val="en-GB" w:eastAsia="en-AU"/>
        </w:rPr>
      </w:pPr>
    </w:p>
    <w:p w14:paraId="609CF6A9" w14:textId="77777777" w:rsidR="002E02D7" w:rsidRDefault="002E02D7" w:rsidP="002E02D7">
      <w:pPr>
        <w:pStyle w:val="BodyText"/>
        <w:rPr>
          <w:lang w:val="en-GB" w:eastAsia="en-AU"/>
        </w:rPr>
      </w:pPr>
    </w:p>
    <w:p w14:paraId="4EA600F5" w14:textId="656467C2" w:rsidR="002E02D7" w:rsidRDefault="002E02D7" w:rsidP="002E02D7">
      <w:pPr>
        <w:pStyle w:val="BodyText"/>
        <w:rPr>
          <w:lang w:val="en-GB" w:eastAsia="en-AU"/>
        </w:rPr>
      </w:pPr>
    </w:p>
    <w:p w14:paraId="57ED72E3" w14:textId="77777777" w:rsidR="001C2CFF" w:rsidRDefault="001C2CFF" w:rsidP="002E02D7">
      <w:pPr>
        <w:pStyle w:val="BodyText"/>
        <w:rPr>
          <w:lang w:val="en-GB" w:eastAsia="en-AU"/>
        </w:rPr>
      </w:pPr>
    </w:p>
    <w:p w14:paraId="55C29686" w14:textId="0096D592" w:rsidR="002E02D7" w:rsidRPr="00836A4C" w:rsidRDefault="002E02D7" w:rsidP="002E02D7">
      <w:pPr>
        <w:pStyle w:val="BodyText"/>
        <w:rPr>
          <w:b/>
          <w:bCs w:val="0"/>
          <w:sz w:val="24"/>
          <w:szCs w:val="24"/>
          <w:lang w:val="en-GB" w:eastAsia="en-AU"/>
        </w:rPr>
      </w:pPr>
      <w:r w:rsidRPr="00836A4C">
        <w:rPr>
          <w:b/>
          <w:bCs w:val="0"/>
          <w:sz w:val="24"/>
          <w:szCs w:val="24"/>
          <w:lang w:val="en-GB" w:eastAsia="en-AU"/>
        </w:rPr>
        <w:t xml:space="preserve">Appendix </w:t>
      </w:r>
      <w:r w:rsidR="005A1DBE">
        <w:rPr>
          <w:b/>
          <w:bCs w:val="0"/>
          <w:sz w:val="24"/>
          <w:szCs w:val="24"/>
          <w:lang w:val="en-GB" w:eastAsia="en-AU"/>
        </w:rPr>
        <w:t>3</w:t>
      </w:r>
      <w:r w:rsidRPr="00836A4C">
        <w:rPr>
          <w:b/>
          <w:bCs w:val="0"/>
          <w:sz w:val="24"/>
          <w:szCs w:val="24"/>
          <w:lang w:val="en-GB" w:eastAsia="en-AU"/>
        </w:rPr>
        <w:t>: S5.3.8 Harmonics and Voltage Notching</w:t>
      </w:r>
    </w:p>
    <w:p w14:paraId="4F6D6D01" w14:textId="77777777" w:rsidR="00836A4C" w:rsidRDefault="00836A4C" w:rsidP="002E02D7"/>
    <w:p w14:paraId="54D717B3" w14:textId="7A118ABC" w:rsidR="002E02D7" w:rsidRPr="009E3BF5" w:rsidRDefault="002E02D7" w:rsidP="002E02D7">
      <w:pPr>
        <w:rPr>
          <w:lang w:eastAsia="en-US"/>
        </w:rPr>
      </w:pPr>
      <w:r>
        <w:t xml:space="preserve">The harmonic </w:t>
      </w:r>
      <w:r>
        <w:rPr>
          <w:i/>
          <w:iCs/>
        </w:rPr>
        <w:t>voltage</w:t>
      </w:r>
      <w:r>
        <w:t xml:space="preserve"> distortion caused by the </w:t>
      </w:r>
      <w:r>
        <w:rPr>
          <w:i/>
          <w:iCs/>
        </w:rPr>
        <w:t>plant</w:t>
      </w:r>
      <w:r>
        <w:t xml:space="preserve"> at the </w:t>
      </w:r>
      <w:r>
        <w:rPr>
          <w:i/>
          <w:iCs/>
        </w:rPr>
        <w:t>connection point</w:t>
      </w:r>
      <w:r>
        <w:t xml:space="preserve"> must not exceed the [</w:t>
      </w:r>
      <w:r w:rsidRPr="00434C5C">
        <w:rPr>
          <w:i/>
          <w:iCs/>
          <w:highlight w:val="yellow"/>
        </w:rPr>
        <w:t>automatic</w:t>
      </w:r>
      <w:r w:rsidRPr="00434C5C">
        <w:rPr>
          <w:highlight w:val="yellow"/>
        </w:rPr>
        <w:t>/</w:t>
      </w:r>
      <w:r w:rsidRPr="00434C5C">
        <w:rPr>
          <w:i/>
          <w:iCs/>
          <w:highlight w:val="yellow"/>
        </w:rPr>
        <w:t>negotiated</w:t>
      </w:r>
      <w:r>
        <w:t>]</w:t>
      </w:r>
      <w:r>
        <w:rPr>
          <w:i/>
          <w:iCs/>
        </w:rPr>
        <w:t xml:space="preserve"> access standard </w:t>
      </w:r>
      <w:r>
        <w:t xml:space="preserve">limits in Table </w:t>
      </w:r>
      <w:r w:rsidR="005A1DBE">
        <w:t>3</w:t>
      </w:r>
      <w:r>
        <w:t>.1.</w:t>
      </w:r>
    </w:p>
    <w:p w14:paraId="500AC088" w14:textId="54830ECE" w:rsidR="0000406F" w:rsidRDefault="0000406F" w:rsidP="0000406F">
      <w:pPr>
        <w:pStyle w:val="BodyText"/>
        <w:rPr>
          <w:lang w:val="en-GB" w:eastAsia="en-AU"/>
        </w:rPr>
      </w:pPr>
    </w:p>
    <w:p w14:paraId="42DBC6CF" w14:textId="4B80FDD3" w:rsidR="002E02D7" w:rsidRDefault="002E02D7" w:rsidP="002E02D7">
      <w:pPr>
        <w:pStyle w:val="ListParagraph"/>
        <w:keepNext/>
        <w:spacing w:after="120"/>
        <w:ind w:left="720"/>
        <w:jc w:val="center"/>
        <w:rPr>
          <w:szCs w:val="18"/>
        </w:rPr>
      </w:pPr>
      <w:r w:rsidRPr="0000406F">
        <w:rPr>
          <w:szCs w:val="18"/>
        </w:rPr>
        <w:t xml:space="preserve">Table </w:t>
      </w:r>
      <w:r w:rsidR="005A1DBE">
        <w:rPr>
          <w:szCs w:val="18"/>
        </w:rPr>
        <w:t>3</w:t>
      </w:r>
      <w:r w:rsidRPr="0000406F">
        <w:rPr>
          <w:szCs w:val="18"/>
        </w:rPr>
        <w:t>.</w:t>
      </w:r>
      <w:r>
        <w:rPr>
          <w:szCs w:val="18"/>
        </w:rPr>
        <w:t>1</w:t>
      </w:r>
      <w:r w:rsidRPr="0000406F">
        <w:rPr>
          <w:szCs w:val="18"/>
        </w:rPr>
        <w:t xml:space="preserve">: </w:t>
      </w:r>
      <w:r>
        <w:rPr>
          <w:szCs w:val="18"/>
        </w:rPr>
        <w:t>[</w:t>
      </w:r>
      <w:r w:rsidRPr="00434C5C">
        <w:rPr>
          <w:i/>
          <w:iCs/>
          <w:szCs w:val="18"/>
          <w:highlight w:val="yellow"/>
        </w:rPr>
        <w:t>Automatic/Negotiated</w:t>
      </w:r>
      <w:r>
        <w:rPr>
          <w:i/>
          <w:iCs/>
          <w:szCs w:val="18"/>
        </w:rPr>
        <w:t>] Access Standard</w:t>
      </w:r>
      <w:r>
        <w:rPr>
          <w:szCs w:val="18"/>
        </w:rPr>
        <w:t xml:space="preserve"> Harmonic </w:t>
      </w:r>
      <w:r w:rsidRPr="002E02D7">
        <w:rPr>
          <w:i/>
          <w:iCs/>
          <w:szCs w:val="18"/>
        </w:rPr>
        <w:t>Voltage</w:t>
      </w:r>
      <w:r>
        <w:rPr>
          <w:szCs w:val="18"/>
        </w:rPr>
        <w:t xml:space="preserve"> Distortion Limits</w:t>
      </w:r>
    </w:p>
    <w:tbl>
      <w:tblPr>
        <w:tblW w:w="7084" w:type="dxa"/>
        <w:jc w:val="center"/>
        <w:tblLook w:val="04A0" w:firstRow="1" w:lastRow="0" w:firstColumn="1" w:lastColumn="0" w:noHBand="0" w:noVBand="1"/>
      </w:tblPr>
      <w:tblGrid>
        <w:gridCol w:w="1473"/>
        <w:gridCol w:w="1028"/>
        <w:gridCol w:w="1146"/>
        <w:gridCol w:w="1028"/>
        <w:gridCol w:w="1226"/>
        <w:gridCol w:w="1183"/>
      </w:tblGrid>
      <w:tr w:rsidR="00836A4C" w:rsidRPr="00634CDB" w14:paraId="1BCF94D3" w14:textId="77777777" w:rsidTr="00836A4C">
        <w:trPr>
          <w:trHeight w:val="315"/>
          <w:jc w:val="center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59CD" w14:textId="70F75993" w:rsidR="00836A4C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Odd Harmonic (Non-multiple of 3)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D3D69" w14:textId="4A8004AB" w:rsidR="00836A4C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Odd Harmonic (Multiple of 3)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9DC91" w14:textId="371437C7" w:rsidR="00836A4C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Even Harmonic</w:t>
            </w:r>
          </w:p>
        </w:tc>
      </w:tr>
      <w:tr w:rsidR="002E02D7" w:rsidRPr="00634CDB" w14:paraId="39B72B06" w14:textId="77777777" w:rsidTr="00836A4C">
        <w:trPr>
          <w:trHeight w:val="315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B751" w14:textId="7C4A889B" w:rsidR="002E02D7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Harmonic</w:t>
            </w:r>
            <w:r w:rsidR="002E02D7"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543" w14:textId="53F63F47" w:rsidR="002E02D7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Emission Limit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41F3" w14:textId="37C14F7A" w:rsidR="002E02D7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Harmonic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6E05" w14:textId="5EB8C521" w:rsidR="002E02D7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Emission Limit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60C1" w14:textId="45AE8F5A" w:rsidR="002E02D7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Harmonic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703A" w14:textId="6491F796" w:rsidR="002E02D7" w:rsidRPr="00634CDB" w:rsidRDefault="00836A4C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Emission Limit</w:t>
            </w:r>
          </w:p>
        </w:tc>
      </w:tr>
      <w:tr w:rsidR="002E02D7" w:rsidRPr="00634CDB" w14:paraId="0887EA1B" w14:textId="77777777" w:rsidTr="00836A4C">
        <w:trPr>
          <w:trHeight w:val="300"/>
          <w:jc w:val="center"/>
        </w:trPr>
        <w:tc>
          <w:tcPr>
            <w:tcW w:w="147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A69BC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B721FF" w14:textId="2FF6157D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CCBB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72F842" w14:textId="2B551774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AB5D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4E1BA9" w14:textId="1FD8F96E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667963E4" w14:textId="77777777" w:rsidTr="00836A4C">
        <w:trPr>
          <w:trHeight w:val="30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CBAC4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05CA72" w14:textId="0EA32851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9C86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9C4B9" w14:textId="7A7186F1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EAF0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A92AB" w14:textId="61E5B19F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66F41E1B" w14:textId="77777777" w:rsidTr="00836A4C">
        <w:trPr>
          <w:trHeight w:val="30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FD64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7ABDD1" w14:textId="244E5EFA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F29B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5892A" w14:textId="7052C88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CF80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5F851" w14:textId="43DC1799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186D0ED4" w14:textId="77777777" w:rsidTr="00836A4C">
        <w:trPr>
          <w:trHeight w:val="30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D41D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5D425C" w14:textId="6D9E7575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B4CC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4EE1E" w14:textId="32E3E259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9CE9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296DFA" w14:textId="6D822591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453B4F67" w14:textId="77777777" w:rsidTr="00836A4C">
        <w:trPr>
          <w:trHeight w:val="30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E89EC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5DF156" w14:textId="730D0522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57B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0765D" w14:textId="6B6F3B2F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8934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2E59E4" w14:textId="34E8157A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1825C122" w14:textId="77777777" w:rsidTr="00836A4C">
        <w:trPr>
          <w:trHeight w:val="30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1F884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7881D" w14:textId="558ADE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90EC1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5E4C9" w14:textId="253E6586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C2F7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F380B" w14:textId="468CAF14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7C89949E" w14:textId="77777777" w:rsidTr="00836A4C">
        <w:trPr>
          <w:trHeight w:val="30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0599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6AD06" w14:textId="4B855179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7756C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097A4" w14:textId="65C98B70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3F33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A876A" w14:textId="1E25703A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26165E2F" w14:textId="77777777" w:rsidTr="00836A4C">
        <w:trPr>
          <w:trHeight w:val="315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76A8F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FBEDA" w14:textId="54936B6B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1BA71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3D7EBD" w14:textId="7FF725A5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F4BF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66DC19" w14:textId="1D4F325F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4C8DD3C3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80645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29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854CB2" w14:textId="368CC741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D5AD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1D55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FFBA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18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AFAD07" w14:textId="024C1D10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5B3F482D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1C12B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5C8CF2" w14:textId="51C4EB38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E018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D008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98A1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22E1DA" w14:textId="3D03AB48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469E313F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0DA57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35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4F5F9" w14:textId="0A809EAF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D374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0B71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CD2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2EC73D" w14:textId="50CEB30A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77AA2B1B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1FAB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CFBE89" w14:textId="0354632A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37B9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BF806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DDB6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497E" w14:textId="24B754DC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4AD0EF44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49DD3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677A9A" w14:textId="576CEF9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30DC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1529E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5343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C189D0" w14:textId="283F47AD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0518EF95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7E389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60E4D3" w14:textId="09304994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378A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0B34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BA72D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28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B530AC" w14:textId="1EAD83D4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5A0AD645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BEA57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49E2D2" w14:textId="1C837574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6336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0CDB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F1D1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98973" w14:textId="01A7168A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5C921F97" w14:textId="77777777" w:rsidTr="00836A4C">
        <w:trPr>
          <w:trHeight w:val="345"/>
          <w:jc w:val="center"/>
        </w:trPr>
        <w:tc>
          <w:tcPr>
            <w:tcW w:w="147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AF89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AEDB45" w14:textId="7A3DAFF0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7028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748BC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BED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9FB93C" w14:textId="02185A4B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4B44433F" w14:textId="77777777" w:rsidTr="00836A4C">
        <w:trPr>
          <w:trHeight w:val="34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2DA2A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THD</w:t>
            </w:r>
          </w:p>
        </w:tc>
        <w:tc>
          <w:tcPr>
            <w:tcW w:w="10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087631" w14:textId="2B93915C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CCF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589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6844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91FC3" w14:textId="7B4C9E86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0B83E57A" w14:textId="77777777" w:rsidTr="00836A4C">
        <w:trPr>
          <w:trHeight w:val="345"/>
          <w:jc w:val="center"/>
        </w:trPr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A5B3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Non-integral</w:t>
            </w:r>
          </w:p>
        </w:tc>
        <w:tc>
          <w:tcPr>
            <w:tcW w:w="1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E58763" w14:textId="573C43F9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4EFC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203D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BB99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24BD6E" w14:textId="456A779F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3BF622C0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BDB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25C9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7457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A5EE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711B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38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75575" w14:textId="207BE083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257D13EB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F0E5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7687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7BC5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F8CD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898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032E3" w14:textId="4B60BB95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5834A0C8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F5F6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52C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DE93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8FCD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A0E3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42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088073" w14:textId="59093398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2CF8F1FA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ECCC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4DA3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2069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7C2B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6998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44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957011" w14:textId="510D40B5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16656857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C754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D49B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3B7A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2415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2380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46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42F2B3" w14:textId="04784E94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28C9BCE5" w14:textId="77777777" w:rsidTr="00836A4C">
        <w:trPr>
          <w:trHeight w:val="330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4A2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0913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5BCB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0403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965E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48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27CC00" w14:textId="166B29AF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  <w:tr w:rsidR="002E02D7" w:rsidRPr="00634CDB" w14:paraId="4B738C49" w14:textId="77777777" w:rsidTr="00836A4C">
        <w:trPr>
          <w:trHeight w:val="345"/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6D11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07C8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203A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8B22" w14:textId="77777777" w:rsidR="002E02D7" w:rsidRPr="00634CDB" w:rsidRDefault="002E02D7" w:rsidP="003B24FF">
            <w:pPr>
              <w:rPr>
                <w:rFonts w:ascii="Times New Roman" w:eastAsia="Times New Roman" w:hAnsi="Times New Roman" w:cs="Times New Roman"/>
                <w:bCs w:val="0"/>
                <w:color w:val="auto"/>
                <w:lang w:eastAsia="en-AU"/>
              </w:rPr>
            </w:pPr>
          </w:p>
        </w:tc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8FC3" w14:textId="77777777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  <w:r w:rsidRPr="00634CDB"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  <w:t>50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55CBC" w14:textId="282ACE9B" w:rsidR="002E02D7" w:rsidRPr="00634CDB" w:rsidRDefault="002E02D7" w:rsidP="003B24FF">
            <w:pPr>
              <w:jc w:val="center"/>
              <w:rPr>
                <w:rFonts w:ascii="Arial" w:eastAsia="Times New Roman" w:hAnsi="Arial" w:cs="Arial"/>
                <w:bCs w:val="0"/>
                <w:color w:val="222324"/>
                <w:lang w:eastAsia="en-AU"/>
              </w:rPr>
            </w:pPr>
          </w:p>
        </w:tc>
      </w:tr>
    </w:tbl>
    <w:p w14:paraId="41F17285" w14:textId="77777777" w:rsidR="002E02D7" w:rsidRPr="002E02D7" w:rsidRDefault="002E02D7" w:rsidP="002E02D7">
      <w:pPr>
        <w:pStyle w:val="ListParagraph"/>
        <w:keepNext/>
        <w:spacing w:after="120"/>
        <w:ind w:left="720"/>
        <w:jc w:val="center"/>
        <w:rPr>
          <w:lang w:val="en-GB" w:eastAsia="en-AU"/>
        </w:rPr>
      </w:pPr>
    </w:p>
    <w:sectPr w:rsidR="002E02D7" w:rsidRPr="002E02D7" w:rsidSect="00836A4C">
      <w:pgSz w:w="11906" w:h="16838" w:code="9"/>
      <w:pgMar w:top="720" w:right="720" w:bottom="720" w:left="720" w:header="53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1A72" w14:textId="77777777" w:rsidR="002E288D" w:rsidRDefault="002E288D" w:rsidP="0097771C">
      <w:r>
        <w:separator/>
      </w:r>
    </w:p>
  </w:endnote>
  <w:endnote w:type="continuationSeparator" w:id="0">
    <w:p w14:paraId="636B1904" w14:textId="77777777" w:rsidR="002E288D" w:rsidRDefault="002E288D" w:rsidP="009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24"/>
      <w:gridCol w:w="1848"/>
    </w:tblGrid>
    <w:tr w:rsidR="00C774B0" w14:paraId="7ECEA2CF" w14:textId="77777777" w:rsidTr="0085738D">
      <w:tc>
        <w:tcPr>
          <w:tcW w:w="4142" w:type="pct"/>
        </w:tcPr>
        <w:p w14:paraId="254C938D" w14:textId="59AB5601" w:rsidR="00C774B0" w:rsidRDefault="00C774B0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 w:rsidR="006905EF">
            <w:rPr>
              <w:noProof/>
            </w:rPr>
            <w:t>20</w:t>
          </w:r>
          <w:r w:rsidR="001D477E">
            <w:rPr>
              <w:noProof/>
            </w:rPr>
            <w:t>2</w:t>
          </w:r>
          <w:r>
            <w:fldChar w:fldCharType="end"/>
          </w:r>
          <w:r w:rsidR="00F26C62">
            <w:t>3</w:t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 w:rsidR="001D477E">
            <w:rPr>
              <w:noProof/>
            </w:rPr>
            <w:t>Customer performance standards template</w:t>
          </w:r>
        </w:p>
      </w:tc>
      <w:tc>
        <w:tcPr>
          <w:tcW w:w="858" w:type="pct"/>
        </w:tcPr>
        <w:p w14:paraId="05C55806" w14:textId="778A78CC" w:rsidR="00C774B0" w:rsidRDefault="00C774B0" w:rsidP="00974A42">
          <w:pPr>
            <w:pStyle w:val="Footer"/>
            <w:jc w:val="right"/>
          </w:pPr>
        </w:p>
      </w:tc>
    </w:tr>
  </w:tbl>
  <w:p w14:paraId="5848EE16" w14:textId="77777777" w:rsidR="00C774B0" w:rsidRDefault="00C77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A796" w14:textId="77777777" w:rsidR="002E288D" w:rsidRDefault="002E288D" w:rsidP="0097771C">
      <w:r>
        <w:separator/>
      </w:r>
    </w:p>
  </w:footnote>
  <w:footnote w:type="continuationSeparator" w:id="0">
    <w:p w14:paraId="55AC7E69" w14:textId="77777777" w:rsidR="002E288D" w:rsidRDefault="002E288D" w:rsidP="0097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8AC8" w14:textId="77777777" w:rsidR="00110745" w:rsidRDefault="00110745" w:rsidP="00110745">
    <w:r w:rsidRPr="00110745">
      <w:rPr>
        <w:noProof/>
      </w:rPr>
      <w:drawing>
        <wp:anchor distT="0" distB="0" distL="114300" distR="114300" simplePos="0" relativeHeight="251659264" behindDoc="1" locked="1" layoutInCell="1" allowOverlap="1" wp14:anchorId="68BAE23E" wp14:editId="5B0F78B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42000"/>
          <wp:effectExtent l="0" t="0" r="3175" b="0"/>
          <wp:wrapNone/>
          <wp:docPr id="6" name="Picture 6" descr="A picture containing anima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actsheet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1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PlainTable4"/>
      <w:tblW w:w="5118" w:type="pct"/>
      <w:tblLook w:val="04A0" w:firstRow="1" w:lastRow="0" w:firstColumn="1" w:lastColumn="0" w:noHBand="0" w:noVBand="1"/>
    </w:tblPr>
    <w:tblGrid>
      <w:gridCol w:w="8285"/>
      <w:gridCol w:w="2741"/>
    </w:tblGrid>
    <w:tr w:rsidR="00110745" w14:paraId="145D6959" w14:textId="77777777" w:rsidTr="007C070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147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286" w:type="dxa"/>
          <w:vAlign w:val="bottom"/>
        </w:tcPr>
        <w:p w14:paraId="708207E6" w14:textId="63F27436" w:rsidR="00110745" w:rsidRDefault="001D477E" w:rsidP="00110745">
          <w:pPr>
            <w:pStyle w:val="Cover-Title"/>
          </w:pPr>
          <w:r>
            <w:t>Customer performance standards</w:t>
          </w:r>
          <w:r w:rsidR="007C1949">
            <w:t xml:space="preserve"> template</w:t>
          </w:r>
          <w:r>
            <w:t xml:space="preserve"> </w:t>
          </w:r>
          <w:r w:rsidR="007442FB" w:rsidRPr="00DD0783">
            <w:rPr>
              <w:color w:val="auto"/>
              <w:highlight w:val="yellow"/>
            </w:rPr>
            <w:t>[Project]</w:t>
          </w:r>
        </w:p>
      </w:tc>
      <w:tc>
        <w:tcPr>
          <w:tcW w:w="2741" w:type="dxa"/>
          <w:vAlign w:val="bottom"/>
        </w:tcPr>
        <w:p w14:paraId="4775FC50" w14:textId="77777777" w:rsidR="00110745" w:rsidRPr="007C0707" w:rsidRDefault="00110745" w:rsidP="00137E70">
          <w:pPr>
            <w:pStyle w:val="Cover-Da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5E9F3E77" w14:textId="77777777" w:rsidR="00110745" w:rsidRDefault="00110745" w:rsidP="001107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961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806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5496CC"/>
    <w:lvl w:ilvl="0">
      <w:start w:val="1"/>
      <w:numFmt w:val="lowerRoman"/>
      <w:lvlText w:val="%1."/>
      <w:lvlJc w:val="right"/>
      <w:pPr>
        <w:ind w:left="1154" w:hanging="360"/>
      </w:pPr>
    </w:lvl>
  </w:abstractNum>
  <w:abstractNum w:abstractNumId="3" w15:restartNumberingAfterBreak="0">
    <w:nsid w:val="FFFFFF7F"/>
    <w:multiLevelType w:val="singleLevel"/>
    <w:tmpl w:val="F8F0BE10"/>
    <w:lvl w:ilvl="0">
      <w:start w:val="1"/>
      <w:numFmt w:val="upperRoman"/>
      <w:lvlText w:val="%1."/>
      <w:lvlJc w:val="right"/>
      <w:pPr>
        <w:ind w:left="814" w:hanging="360"/>
      </w:pPr>
    </w:lvl>
  </w:abstractNum>
  <w:abstractNum w:abstractNumId="4" w15:restartNumberingAfterBreak="0">
    <w:nsid w:val="FFFFFF80"/>
    <w:multiLevelType w:val="singleLevel"/>
    <w:tmpl w:val="B1802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D6EF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33CA5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41230" w:themeColor="accent1"/>
      </w:rPr>
    </w:lvl>
  </w:abstractNum>
  <w:abstractNum w:abstractNumId="7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C54D1F"/>
    <w:multiLevelType w:val="hybridMultilevel"/>
    <w:tmpl w:val="EB28FF42"/>
    <w:lvl w:ilvl="0" w:tplc="7D2A442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2892"/>
    <w:multiLevelType w:val="multilevel"/>
    <w:tmpl w:val="163A35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41230" w:themeColor="accent1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FC31CB"/>
    <w:multiLevelType w:val="multilevel"/>
    <w:tmpl w:val="55621AA4"/>
    <w:lvl w:ilvl="0">
      <w:start w:val="1"/>
      <w:numFmt w:val="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2" w15:restartNumberingAfterBreak="0">
    <w:nsid w:val="187E3E55"/>
    <w:multiLevelType w:val="multilevel"/>
    <w:tmpl w:val="58926BDA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1C3F4AC8"/>
    <w:multiLevelType w:val="multilevel"/>
    <w:tmpl w:val="0F42A9A8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E207666"/>
    <w:multiLevelType w:val="hybridMultilevel"/>
    <w:tmpl w:val="92065E40"/>
    <w:lvl w:ilvl="0" w:tplc="C7F6B228">
      <w:start w:val="1"/>
      <w:numFmt w:val="lowerLetter"/>
      <w:lvlText w:val="%1."/>
      <w:lvlJc w:val="left"/>
      <w:pPr>
        <w:ind w:left="182" w:hanging="360"/>
      </w:pPr>
    </w:lvl>
    <w:lvl w:ilvl="1" w:tplc="0C090019" w:tentative="1">
      <w:start w:val="1"/>
      <w:numFmt w:val="lowerLetter"/>
      <w:lvlText w:val="%2."/>
      <w:lvlJc w:val="left"/>
      <w:pPr>
        <w:ind w:left="902" w:hanging="360"/>
      </w:pPr>
    </w:lvl>
    <w:lvl w:ilvl="2" w:tplc="0C09001B" w:tentative="1">
      <w:start w:val="1"/>
      <w:numFmt w:val="lowerRoman"/>
      <w:lvlText w:val="%3."/>
      <w:lvlJc w:val="right"/>
      <w:pPr>
        <w:ind w:left="1622" w:hanging="180"/>
      </w:pPr>
    </w:lvl>
    <w:lvl w:ilvl="3" w:tplc="0C09000F" w:tentative="1">
      <w:start w:val="1"/>
      <w:numFmt w:val="decimal"/>
      <w:lvlText w:val="%4."/>
      <w:lvlJc w:val="left"/>
      <w:pPr>
        <w:ind w:left="2342" w:hanging="360"/>
      </w:pPr>
    </w:lvl>
    <w:lvl w:ilvl="4" w:tplc="0C090019" w:tentative="1">
      <w:start w:val="1"/>
      <w:numFmt w:val="lowerLetter"/>
      <w:lvlText w:val="%5."/>
      <w:lvlJc w:val="left"/>
      <w:pPr>
        <w:ind w:left="3062" w:hanging="360"/>
      </w:pPr>
    </w:lvl>
    <w:lvl w:ilvl="5" w:tplc="0C09001B" w:tentative="1">
      <w:start w:val="1"/>
      <w:numFmt w:val="lowerRoman"/>
      <w:lvlText w:val="%6."/>
      <w:lvlJc w:val="right"/>
      <w:pPr>
        <w:ind w:left="3782" w:hanging="180"/>
      </w:pPr>
    </w:lvl>
    <w:lvl w:ilvl="6" w:tplc="0C09000F" w:tentative="1">
      <w:start w:val="1"/>
      <w:numFmt w:val="decimal"/>
      <w:lvlText w:val="%7."/>
      <w:lvlJc w:val="left"/>
      <w:pPr>
        <w:ind w:left="4502" w:hanging="360"/>
      </w:pPr>
    </w:lvl>
    <w:lvl w:ilvl="7" w:tplc="0C090019" w:tentative="1">
      <w:start w:val="1"/>
      <w:numFmt w:val="lowerLetter"/>
      <w:lvlText w:val="%8."/>
      <w:lvlJc w:val="left"/>
      <w:pPr>
        <w:ind w:left="5222" w:hanging="360"/>
      </w:pPr>
    </w:lvl>
    <w:lvl w:ilvl="8" w:tplc="0C09001B" w:tentative="1">
      <w:start w:val="1"/>
      <w:numFmt w:val="lowerRoman"/>
      <w:lvlText w:val="%9."/>
      <w:lvlJc w:val="right"/>
      <w:pPr>
        <w:ind w:left="5942" w:hanging="180"/>
      </w:pPr>
    </w:lvl>
  </w:abstractNum>
  <w:abstractNum w:abstractNumId="15" w15:restartNumberingAfterBreak="0">
    <w:nsid w:val="20190522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6" w15:restartNumberingAfterBreak="0">
    <w:nsid w:val="225E3AA4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7" w15:restartNumberingAfterBreak="0">
    <w:nsid w:val="26FF2F9A"/>
    <w:multiLevelType w:val="multilevel"/>
    <w:tmpl w:val="3A9CE80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8" w15:restartNumberingAfterBreak="0">
    <w:nsid w:val="292410EA"/>
    <w:multiLevelType w:val="hybridMultilevel"/>
    <w:tmpl w:val="5BCC1EF8"/>
    <w:lvl w:ilvl="0" w:tplc="9B8E1E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A2B6D"/>
    <w:multiLevelType w:val="hybridMultilevel"/>
    <w:tmpl w:val="0A30185C"/>
    <w:lvl w:ilvl="0" w:tplc="B99C12FC">
      <w:start w:val="1"/>
      <w:numFmt w:val="decimal"/>
      <w:lvlText w:val="1.1.%1"/>
      <w:lvlJc w:val="left"/>
      <w:pPr>
        <w:ind w:left="360" w:hanging="360"/>
      </w:pPr>
      <w:rPr>
        <w:rFonts w:hint="default"/>
        <w:color w:val="360F3C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146C53"/>
    <w:multiLevelType w:val="hybridMultilevel"/>
    <w:tmpl w:val="764EEEB8"/>
    <w:lvl w:ilvl="0" w:tplc="B3EE2C30">
      <w:start w:val="1"/>
      <w:numFmt w:val="decimal"/>
      <w:lvlText w:val="Chapter %1."/>
      <w:lvlJc w:val="left"/>
      <w:pPr>
        <w:ind w:left="360" w:hanging="36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1286F"/>
    <w:multiLevelType w:val="multilevel"/>
    <w:tmpl w:val="B5F4F6FC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2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821E98"/>
    <w:multiLevelType w:val="hybridMultilevel"/>
    <w:tmpl w:val="0E2C1B7C"/>
    <w:lvl w:ilvl="0" w:tplc="727EA6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64945"/>
    <w:multiLevelType w:val="hybridMultilevel"/>
    <w:tmpl w:val="382C62F4"/>
    <w:lvl w:ilvl="0" w:tplc="9CD6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E35A3"/>
    <w:multiLevelType w:val="hybridMultilevel"/>
    <w:tmpl w:val="EAB00C66"/>
    <w:lvl w:ilvl="0" w:tplc="194267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175E4"/>
    <w:multiLevelType w:val="hybridMultilevel"/>
    <w:tmpl w:val="1F90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B16B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2106E74"/>
    <w:multiLevelType w:val="multilevel"/>
    <w:tmpl w:val="B5F4F6FC"/>
    <w:lvl w:ilvl="0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2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B7A1027"/>
    <w:multiLevelType w:val="hybridMultilevel"/>
    <w:tmpl w:val="7556DE72"/>
    <w:lvl w:ilvl="0" w:tplc="AD58B0DA">
      <w:start w:val="1"/>
      <w:numFmt w:val="decimal"/>
      <w:lvlText w:val="1.%1"/>
      <w:lvlJc w:val="left"/>
      <w:pPr>
        <w:ind w:left="360" w:hanging="360"/>
      </w:pPr>
      <w:rPr>
        <w:rFonts w:hint="default"/>
        <w:color w:val="360F3C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F503D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36" w15:restartNumberingAfterBreak="0">
    <w:nsid w:val="69C50582"/>
    <w:multiLevelType w:val="multilevel"/>
    <w:tmpl w:val="1F902E0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9114D1"/>
    <w:multiLevelType w:val="multilevel"/>
    <w:tmpl w:val="B5F4F6FC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7F605928"/>
    <w:multiLevelType w:val="multilevel"/>
    <w:tmpl w:val="94B431BE"/>
    <w:lvl w:ilvl="0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num w:numId="1" w16cid:durableId="862716574">
    <w:abstractNumId w:val="27"/>
  </w:num>
  <w:num w:numId="2" w16cid:durableId="1345091426">
    <w:abstractNumId w:val="39"/>
  </w:num>
  <w:num w:numId="3" w16cid:durableId="1729374567">
    <w:abstractNumId w:val="15"/>
  </w:num>
  <w:num w:numId="4" w16cid:durableId="1939634771">
    <w:abstractNumId w:val="16"/>
  </w:num>
  <w:num w:numId="5" w16cid:durableId="813134160">
    <w:abstractNumId w:val="35"/>
  </w:num>
  <w:num w:numId="6" w16cid:durableId="955258450">
    <w:abstractNumId w:val="36"/>
  </w:num>
  <w:num w:numId="7" w16cid:durableId="126508039">
    <w:abstractNumId w:val="37"/>
  </w:num>
  <w:num w:numId="8" w16cid:durableId="1742409743">
    <w:abstractNumId w:val="21"/>
  </w:num>
  <w:num w:numId="9" w16cid:durableId="483202279">
    <w:abstractNumId w:val="31"/>
  </w:num>
  <w:num w:numId="10" w16cid:durableId="1775592228">
    <w:abstractNumId w:val="17"/>
  </w:num>
  <w:num w:numId="11" w16cid:durableId="1861816028">
    <w:abstractNumId w:val="11"/>
  </w:num>
  <w:num w:numId="12" w16cid:durableId="379062878">
    <w:abstractNumId w:val="12"/>
  </w:num>
  <w:num w:numId="13" w16cid:durableId="28723510">
    <w:abstractNumId w:val="17"/>
    <w:lvlOverride w:ilvl="0">
      <w:lvl w:ilvl="0">
        <w:start w:val="1"/>
        <w:numFmt w:val="bullet"/>
        <w:pStyle w:val="ListBullet"/>
        <w:lvlText w:val=""/>
        <w:lvlJc w:val="left"/>
        <w:pPr>
          <w:ind w:left="170" w:hanging="170"/>
        </w:pPr>
        <w:rPr>
          <w:rFonts w:ascii="Symbol" w:hAnsi="Symbol" w:hint="default"/>
          <w:color w:val="C41230" w:themeColor="accent1"/>
        </w:rPr>
      </w:lvl>
    </w:lvlOverride>
    <w:lvlOverride w:ilvl="1">
      <w:lvl w:ilvl="1">
        <w:start w:val="1"/>
        <w:numFmt w:val="bullet"/>
        <w:pStyle w:val="ListBullet2"/>
        <w:lvlText w:val="o"/>
        <w:lvlJc w:val="left"/>
        <w:pPr>
          <w:ind w:left="340" w:hanging="17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pStyle w:val="ListBullet3"/>
        <w:lvlText w:val=""/>
        <w:lvlJc w:val="left"/>
        <w:pPr>
          <w:ind w:left="3382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4102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822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542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262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982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7702" w:hanging="360"/>
        </w:pPr>
        <w:rPr>
          <w:rFonts w:ascii="Wingdings" w:hAnsi="Wingdings" w:hint="default"/>
        </w:rPr>
      </w:lvl>
    </w:lvlOverride>
  </w:num>
  <w:num w:numId="14" w16cid:durableId="721178975">
    <w:abstractNumId w:val="20"/>
  </w:num>
  <w:num w:numId="15" w16cid:durableId="430977984">
    <w:abstractNumId w:val="33"/>
  </w:num>
  <w:num w:numId="16" w16cid:durableId="2027518832">
    <w:abstractNumId w:val="19"/>
  </w:num>
  <w:num w:numId="17" w16cid:durableId="1689794253">
    <w:abstractNumId w:val="13"/>
  </w:num>
  <w:num w:numId="18" w16cid:durableId="29720274">
    <w:abstractNumId w:val="33"/>
    <w:lvlOverride w:ilvl="0">
      <w:startOverride w:val="1"/>
    </w:lvlOverride>
  </w:num>
  <w:num w:numId="19" w16cid:durableId="1427002601">
    <w:abstractNumId w:val="38"/>
  </w:num>
  <w:num w:numId="20" w16cid:durableId="1858929855">
    <w:abstractNumId w:val="5"/>
  </w:num>
  <w:num w:numId="21" w16cid:durableId="832336069">
    <w:abstractNumId w:val="4"/>
  </w:num>
  <w:num w:numId="22" w16cid:durableId="507673434">
    <w:abstractNumId w:val="6"/>
  </w:num>
  <w:num w:numId="23" w16cid:durableId="769664328">
    <w:abstractNumId w:val="3"/>
  </w:num>
  <w:num w:numId="24" w16cid:durableId="1336150164">
    <w:abstractNumId w:val="2"/>
  </w:num>
  <w:num w:numId="25" w16cid:durableId="1673027028">
    <w:abstractNumId w:val="1"/>
  </w:num>
  <w:num w:numId="26" w16cid:durableId="364136187">
    <w:abstractNumId w:val="0"/>
  </w:num>
  <w:num w:numId="27" w16cid:durableId="34700360">
    <w:abstractNumId w:val="29"/>
  </w:num>
  <w:num w:numId="28" w16cid:durableId="1430934065">
    <w:abstractNumId w:val="25"/>
  </w:num>
  <w:num w:numId="29" w16cid:durableId="46228806">
    <w:abstractNumId w:val="24"/>
  </w:num>
  <w:num w:numId="30" w16cid:durableId="594434235">
    <w:abstractNumId w:val="28"/>
  </w:num>
  <w:num w:numId="31" w16cid:durableId="649754479">
    <w:abstractNumId w:val="38"/>
    <w:lvlOverride w:ilvl="0">
      <w:startOverride w:val="1"/>
    </w:lvlOverride>
  </w:num>
  <w:num w:numId="32" w16cid:durableId="2049210576">
    <w:abstractNumId w:val="38"/>
    <w:lvlOverride w:ilvl="0">
      <w:startOverride w:val="1"/>
    </w:lvlOverride>
  </w:num>
  <w:num w:numId="33" w16cid:durableId="1173568574">
    <w:abstractNumId w:val="14"/>
  </w:num>
  <w:num w:numId="34" w16cid:durableId="1687705261">
    <w:abstractNumId w:val="8"/>
  </w:num>
  <w:num w:numId="35" w16cid:durableId="4368014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56603">
    <w:abstractNumId w:val="30"/>
  </w:num>
  <w:num w:numId="37" w16cid:durableId="330763142">
    <w:abstractNumId w:val="9"/>
  </w:num>
  <w:num w:numId="38" w16cid:durableId="1532457197">
    <w:abstractNumId w:val="10"/>
  </w:num>
  <w:num w:numId="39" w16cid:durableId="1433629432">
    <w:abstractNumId w:val="34"/>
  </w:num>
  <w:num w:numId="40" w16cid:durableId="1073088099">
    <w:abstractNumId w:val="22"/>
  </w:num>
  <w:num w:numId="41" w16cid:durableId="1168322270">
    <w:abstractNumId w:val="7"/>
  </w:num>
  <w:num w:numId="42" w16cid:durableId="447895709">
    <w:abstractNumId w:val="17"/>
  </w:num>
  <w:num w:numId="43" w16cid:durableId="163322410">
    <w:abstractNumId w:val="32"/>
  </w:num>
  <w:num w:numId="44" w16cid:durableId="5823010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8182088">
    <w:abstractNumId w:val="18"/>
  </w:num>
  <w:num w:numId="46" w16cid:durableId="1108702400">
    <w:abstractNumId w:val="23"/>
  </w:num>
  <w:num w:numId="47" w16cid:durableId="9413041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EF"/>
    <w:rsid w:val="0000406F"/>
    <w:rsid w:val="00005B7C"/>
    <w:rsid w:val="0001255F"/>
    <w:rsid w:val="000178F2"/>
    <w:rsid w:val="00024B68"/>
    <w:rsid w:val="00051531"/>
    <w:rsid w:val="00055A4C"/>
    <w:rsid w:val="0006133B"/>
    <w:rsid w:val="00071D05"/>
    <w:rsid w:val="00077CE3"/>
    <w:rsid w:val="000863F7"/>
    <w:rsid w:val="000B09A9"/>
    <w:rsid w:val="000E45AB"/>
    <w:rsid w:val="00101B12"/>
    <w:rsid w:val="00110745"/>
    <w:rsid w:val="0012046F"/>
    <w:rsid w:val="001273D1"/>
    <w:rsid w:val="001337F9"/>
    <w:rsid w:val="00137E70"/>
    <w:rsid w:val="00140B12"/>
    <w:rsid w:val="00141788"/>
    <w:rsid w:val="0015165B"/>
    <w:rsid w:val="001521A0"/>
    <w:rsid w:val="00161CEA"/>
    <w:rsid w:val="00173F7C"/>
    <w:rsid w:val="00190755"/>
    <w:rsid w:val="00193546"/>
    <w:rsid w:val="00195185"/>
    <w:rsid w:val="001B3F9E"/>
    <w:rsid w:val="001B44D7"/>
    <w:rsid w:val="001C2CFF"/>
    <w:rsid w:val="001C605F"/>
    <w:rsid w:val="001D3FEF"/>
    <w:rsid w:val="001D477E"/>
    <w:rsid w:val="001F0682"/>
    <w:rsid w:val="00215A8B"/>
    <w:rsid w:val="00223234"/>
    <w:rsid w:val="0022778D"/>
    <w:rsid w:val="00272159"/>
    <w:rsid w:val="00281A7F"/>
    <w:rsid w:val="00296D15"/>
    <w:rsid w:val="00296E91"/>
    <w:rsid w:val="0029793F"/>
    <w:rsid w:val="002B613F"/>
    <w:rsid w:val="002E02D7"/>
    <w:rsid w:val="002E288D"/>
    <w:rsid w:val="002F6164"/>
    <w:rsid w:val="00306E22"/>
    <w:rsid w:val="00311D60"/>
    <w:rsid w:val="003236EF"/>
    <w:rsid w:val="003332E2"/>
    <w:rsid w:val="003361E6"/>
    <w:rsid w:val="00340696"/>
    <w:rsid w:val="00340D04"/>
    <w:rsid w:val="00355B59"/>
    <w:rsid w:val="00357FDC"/>
    <w:rsid w:val="00364BEF"/>
    <w:rsid w:val="00373A92"/>
    <w:rsid w:val="00381BDE"/>
    <w:rsid w:val="00390552"/>
    <w:rsid w:val="00391139"/>
    <w:rsid w:val="00391D79"/>
    <w:rsid w:val="00392B8F"/>
    <w:rsid w:val="003B05F3"/>
    <w:rsid w:val="003C2CA6"/>
    <w:rsid w:val="003C4E0A"/>
    <w:rsid w:val="003D4A9E"/>
    <w:rsid w:val="003D7B47"/>
    <w:rsid w:val="003E135F"/>
    <w:rsid w:val="003E1744"/>
    <w:rsid w:val="003E56FE"/>
    <w:rsid w:val="003E765E"/>
    <w:rsid w:val="00400360"/>
    <w:rsid w:val="004022C8"/>
    <w:rsid w:val="004061E9"/>
    <w:rsid w:val="00407F60"/>
    <w:rsid w:val="00415508"/>
    <w:rsid w:val="00416640"/>
    <w:rsid w:val="00420B6F"/>
    <w:rsid w:val="0042378C"/>
    <w:rsid w:val="00431C66"/>
    <w:rsid w:val="004336D6"/>
    <w:rsid w:val="00434C5C"/>
    <w:rsid w:val="0044593D"/>
    <w:rsid w:val="004666D0"/>
    <w:rsid w:val="00473595"/>
    <w:rsid w:val="00473F6F"/>
    <w:rsid w:val="004821F8"/>
    <w:rsid w:val="00490B4E"/>
    <w:rsid w:val="00494810"/>
    <w:rsid w:val="004B5A95"/>
    <w:rsid w:val="004E2599"/>
    <w:rsid w:val="004F0BD0"/>
    <w:rsid w:val="004F2DC4"/>
    <w:rsid w:val="005109E2"/>
    <w:rsid w:val="00513264"/>
    <w:rsid w:val="00513471"/>
    <w:rsid w:val="00527165"/>
    <w:rsid w:val="005375D4"/>
    <w:rsid w:val="00556A71"/>
    <w:rsid w:val="00557401"/>
    <w:rsid w:val="00562218"/>
    <w:rsid w:val="005762E8"/>
    <w:rsid w:val="005948CA"/>
    <w:rsid w:val="005965BC"/>
    <w:rsid w:val="005A1DBE"/>
    <w:rsid w:val="005A3ED8"/>
    <w:rsid w:val="005B2A36"/>
    <w:rsid w:val="005B7F44"/>
    <w:rsid w:val="005C1A15"/>
    <w:rsid w:val="005C36B7"/>
    <w:rsid w:val="005C6F7E"/>
    <w:rsid w:val="005E54AA"/>
    <w:rsid w:val="005F1BC1"/>
    <w:rsid w:val="00600CD4"/>
    <w:rsid w:val="00606038"/>
    <w:rsid w:val="006120D6"/>
    <w:rsid w:val="00615D62"/>
    <w:rsid w:val="006258EF"/>
    <w:rsid w:val="006270F8"/>
    <w:rsid w:val="00637B2E"/>
    <w:rsid w:val="00642678"/>
    <w:rsid w:val="00644488"/>
    <w:rsid w:val="00645654"/>
    <w:rsid w:val="00656AB4"/>
    <w:rsid w:val="00657657"/>
    <w:rsid w:val="006641FC"/>
    <w:rsid w:val="00670DC6"/>
    <w:rsid w:val="00672FC0"/>
    <w:rsid w:val="006751A1"/>
    <w:rsid w:val="006905EF"/>
    <w:rsid w:val="00697218"/>
    <w:rsid w:val="006A7035"/>
    <w:rsid w:val="006A7611"/>
    <w:rsid w:val="006B5CDF"/>
    <w:rsid w:val="006C1F34"/>
    <w:rsid w:val="006C5176"/>
    <w:rsid w:val="006C7635"/>
    <w:rsid w:val="006D53A5"/>
    <w:rsid w:val="006F4D73"/>
    <w:rsid w:val="00705D96"/>
    <w:rsid w:val="00724310"/>
    <w:rsid w:val="00727321"/>
    <w:rsid w:val="00730A43"/>
    <w:rsid w:val="00736102"/>
    <w:rsid w:val="007426A4"/>
    <w:rsid w:val="007434C5"/>
    <w:rsid w:val="007442FB"/>
    <w:rsid w:val="00750864"/>
    <w:rsid w:val="00761CF9"/>
    <w:rsid w:val="0077666E"/>
    <w:rsid w:val="007772EE"/>
    <w:rsid w:val="00787A1D"/>
    <w:rsid w:val="007A3778"/>
    <w:rsid w:val="007B1CBF"/>
    <w:rsid w:val="007C0707"/>
    <w:rsid w:val="007C1949"/>
    <w:rsid w:val="007C1E2D"/>
    <w:rsid w:val="007C68BC"/>
    <w:rsid w:val="007D71FD"/>
    <w:rsid w:val="007E72B1"/>
    <w:rsid w:val="00803CAE"/>
    <w:rsid w:val="0081699C"/>
    <w:rsid w:val="00836A4C"/>
    <w:rsid w:val="00837E75"/>
    <w:rsid w:val="00843D82"/>
    <w:rsid w:val="008447DE"/>
    <w:rsid w:val="00844FD9"/>
    <w:rsid w:val="00847BBA"/>
    <w:rsid w:val="00855BD6"/>
    <w:rsid w:val="0085738D"/>
    <w:rsid w:val="00861E05"/>
    <w:rsid w:val="00877222"/>
    <w:rsid w:val="00885352"/>
    <w:rsid w:val="00891A84"/>
    <w:rsid w:val="008A6693"/>
    <w:rsid w:val="008C68C4"/>
    <w:rsid w:val="008E2D71"/>
    <w:rsid w:val="008F410B"/>
    <w:rsid w:val="00903946"/>
    <w:rsid w:val="0090571F"/>
    <w:rsid w:val="00907407"/>
    <w:rsid w:val="009178B7"/>
    <w:rsid w:val="0092762D"/>
    <w:rsid w:val="00941D56"/>
    <w:rsid w:val="00952166"/>
    <w:rsid w:val="0095703D"/>
    <w:rsid w:val="009612F1"/>
    <w:rsid w:val="00962681"/>
    <w:rsid w:val="009651B7"/>
    <w:rsid w:val="00974A42"/>
    <w:rsid w:val="00975DBB"/>
    <w:rsid w:val="00976B57"/>
    <w:rsid w:val="0097771C"/>
    <w:rsid w:val="00986195"/>
    <w:rsid w:val="00990E03"/>
    <w:rsid w:val="0099318C"/>
    <w:rsid w:val="00994D31"/>
    <w:rsid w:val="00995955"/>
    <w:rsid w:val="009B191E"/>
    <w:rsid w:val="009B2C88"/>
    <w:rsid w:val="009C224A"/>
    <w:rsid w:val="009C39E7"/>
    <w:rsid w:val="009D42CB"/>
    <w:rsid w:val="009E7A8C"/>
    <w:rsid w:val="00A041E2"/>
    <w:rsid w:val="00A1456C"/>
    <w:rsid w:val="00A21AC3"/>
    <w:rsid w:val="00A26BEB"/>
    <w:rsid w:val="00A4083A"/>
    <w:rsid w:val="00A4476F"/>
    <w:rsid w:val="00A4560E"/>
    <w:rsid w:val="00A46BF3"/>
    <w:rsid w:val="00A50094"/>
    <w:rsid w:val="00A50605"/>
    <w:rsid w:val="00A55174"/>
    <w:rsid w:val="00A55540"/>
    <w:rsid w:val="00A729AA"/>
    <w:rsid w:val="00A74627"/>
    <w:rsid w:val="00AB046B"/>
    <w:rsid w:val="00AC0260"/>
    <w:rsid w:val="00AC462E"/>
    <w:rsid w:val="00AD2060"/>
    <w:rsid w:val="00AD2781"/>
    <w:rsid w:val="00AD323E"/>
    <w:rsid w:val="00AD6B20"/>
    <w:rsid w:val="00AF04D0"/>
    <w:rsid w:val="00AF7CCE"/>
    <w:rsid w:val="00B05D54"/>
    <w:rsid w:val="00B1502D"/>
    <w:rsid w:val="00B15C14"/>
    <w:rsid w:val="00B1697F"/>
    <w:rsid w:val="00B302A3"/>
    <w:rsid w:val="00B43213"/>
    <w:rsid w:val="00B54F53"/>
    <w:rsid w:val="00B62674"/>
    <w:rsid w:val="00B62CA1"/>
    <w:rsid w:val="00B642AD"/>
    <w:rsid w:val="00B74AB1"/>
    <w:rsid w:val="00B90439"/>
    <w:rsid w:val="00B90AF4"/>
    <w:rsid w:val="00BA63A4"/>
    <w:rsid w:val="00BB5A0C"/>
    <w:rsid w:val="00BF0E5F"/>
    <w:rsid w:val="00C13613"/>
    <w:rsid w:val="00C13977"/>
    <w:rsid w:val="00C168A5"/>
    <w:rsid w:val="00C267D2"/>
    <w:rsid w:val="00C70454"/>
    <w:rsid w:val="00C774B0"/>
    <w:rsid w:val="00CA7C11"/>
    <w:rsid w:val="00CB3494"/>
    <w:rsid w:val="00CC30BA"/>
    <w:rsid w:val="00CC7CDB"/>
    <w:rsid w:val="00CD084D"/>
    <w:rsid w:val="00CE0B2F"/>
    <w:rsid w:val="00CE5E7B"/>
    <w:rsid w:val="00CF0DA0"/>
    <w:rsid w:val="00CF6156"/>
    <w:rsid w:val="00CF7998"/>
    <w:rsid w:val="00D04B65"/>
    <w:rsid w:val="00D05D5D"/>
    <w:rsid w:val="00D102A8"/>
    <w:rsid w:val="00D108A2"/>
    <w:rsid w:val="00D167C9"/>
    <w:rsid w:val="00D23ED8"/>
    <w:rsid w:val="00D43114"/>
    <w:rsid w:val="00D531E5"/>
    <w:rsid w:val="00D57712"/>
    <w:rsid w:val="00D619CE"/>
    <w:rsid w:val="00D90A28"/>
    <w:rsid w:val="00D95CF0"/>
    <w:rsid w:val="00D96345"/>
    <w:rsid w:val="00DB3CBE"/>
    <w:rsid w:val="00DB3D31"/>
    <w:rsid w:val="00DB4311"/>
    <w:rsid w:val="00DC1762"/>
    <w:rsid w:val="00DD0783"/>
    <w:rsid w:val="00DD445F"/>
    <w:rsid w:val="00DD7C7A"/>
    <w:rsid w:val="00DE4D26"/>
    <w:rsid w:val="00DF313E"/>
    <w:rsid w:val="00E0654B"/>
    <w:rsid w:val="00E11139"/>
    <w:rsid w:val="00E21021"/>
    <w:rsid w:val="00E25C5D"/>
    <w:rsid w:val="00E31575"/>
    <w:rsid w:val="00E3423C"/>
    <w:rsid w:val="00E3495C"/>
    <w:rsid w:val="00E43AD3"/>
    <w:rsid w:val="00E5780D"/>
    <w:rsid w:val="00E634EF"/>
    <w:rsid w:val="00E66CA4"/>
    <w:rsid w:val="00E72BB1"/>
    <w:rsid w:val="00E8474C"/>
    <w:rsid w:val="00EA0347"/>
    <w:rsid w:val="00EA2316"/>
    <w:rsid w:val="00EB5D02"/>
    <w:rsid w:val="00EC275E"/>
    <w:rsid w:val="00ED30DD"/>
    <w:rsid w:val="00EF36A5"/>
    <w:rsid w:val="00EF4F05"/>
    <w:rsid w:val="00F01308"/>
    <w:rsid w:val="00F1054C"/>
    <w:rsid w:val="00F240AB"/>
    <w:rsid w:val="00F26C62"/>
    <w:rsid w:val="00F40640"/>
    <w:rsid w:val="00F455CD"/>
    <w:rsid w:val="00F51381"/>
    <w:rsid w:val="00F51C76"/>
    <w:rsid w:val="00F566EC"/>
    <w:rsid w:val="00F606CC"/>
    <w:rsid w:val="00F74187"/>
    <w:rsid w:val="00F873AF"/>
    <w:rsid w:val="00F874B4"/>
    <w:rsid w:val="00F91549"/>
    <w:rsid w:val="00F94D25"/>
    <w:rsid w:val="00FA24DF"/>
    <w:rsid w:val="00FA6140"/>
    <w:rsid w:val="00FC16F4"/>
    <w:rsid w:val="00FD1382"/>
    <w:rsid w:val="00FD2CAF"/>
    <w:rsid w:val="00FD59A9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77F8C4"/>
  <w14:defaultImageDpi w14:val="150"/>
  <w15:chartTrackingRefBased/>
  <w15:docId w15:val="{D9A97CB0-8A85-4EEB-9A35-14E7D684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7C0707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A1456C"/>
    <w:pPr>
      <w:numPr>
        <w:numId w:val="17"/>
      </w:numPr>
      <w:spacing w:before="240" w:after="24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A1456C"/>
    <w:pPr>
      <w:keepNext/>
      <w:keepLines/>
      <w:numPr>
        <w:ilvl w:val="1"/>
        <w:numId w:val="17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A1456C"/>
    <w:pPr>
      <w:keepNext/>
      <w:keepLines/>
      <w:numPr>
        <w:ilvl w:val="2"/>
        <w:numId w:val="17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7D71FD"/>
    <w:pPr>
      <w:keepNext/>
      <w:keepLines/>
      <w:numPr>
        <w:ilvl w:val="3"/>
        <w:numId w:val="17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4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7C0707"/>
    <w:pPr>
      <w:jc w:val="right"/>
    </w:pPr>
    <w:rPr>
      <w:rFonts w:asciiTheme="majorHAnsi" w:hAnsiTheme="majorHAnsi"/>
      <w:b/>
      <w:bCs/>
      <w:color w:val="FFFFFF" w:themeColor="background1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1456C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7C0707"/>
    <w:rPr>
      <w:rFonts w:asciiTheme="majorHAnsi" w:hAnsiTheme="majorHAnsi"/>
      <w:b/>
      <w:bCs/>
      <w:color w:val="FFFFFF" w:themeColor="background1"/>
      <w:sz w:val="40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Cover-Date"/>
    <w:uiPriority w:val="99"/>
    <w:rsid w:val="006120D6"/>
    <w:pPr>
      <w:spacing w:before="160" w:line="216" w:lineRule="auto"/>
    </w:pPr>
    <w:rPr>
      <w:rFonts w:asciiTheme="minorHAnsi" w:hAnsiTheme="minorHAnsi"/>
      <w:b w:val="0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1456C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uiPriority w:val="99"/>
    <w:rsid w:val="00761CF9"/>
    <w:pPr>
      <w:spacing w:line="216" w:lineRule="auto"/>
    </w:pPr>
    <w:rPr>
      <w:rFonts w:asciiTheme="majorHAnsi" w:hAnsiTheme="majorHAnsi"/>
      <w:b/>
      <w:color w:val="FFFFFF" w:themeColor="background1"/>
      <w:sz w:val="48"/>
      <w:szCs w:val="120"/>
    </w:rPr>
  </w:style>
  <w:style w:type="paragraph" w:styleId="FootnoteText">
    <w:name w:val="footnote text"/>
    <w:basedOn w:val="Normal"/>
    <w:link w:val="FootnoteTextChar"/>
    <w:uiPriority w:val="99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semiHidden/>
    <w:rsid w:val="00E21021"/>
    <w:pPr>
      <w:contextualSpacing/>
    </w:pPr>
    <w:rPr>
      <w:sz w:val="18"/>
    </w:rPr>
  </w:style>
  <w:style w:type="paragraph" w:styleId="ListBullet">
    <w:name w:val="List Bullet"/>
    <w:qFormat/>
    <w:rsid w:val="001B3F9E"/>
    <w:pPr>
      <w:numPr>
        <w:numId w:val="4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32"/>
      <w:szCs w:val="48"/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995955"/>
    <w:pPr>
      <w:tabs>
        <w:tab w:val="left" w:pos="567"/>
        <w:tab w:val="righ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A1456C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40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D71FD"/>
    <w:rPr>
      <w:rFonts w:asciiTheme="majorHAnsi" w:hAnsiTheme="majorHAnsi" w:cs="Arial Unicode MS"/>
      <w:bCs/>
      <w:color w:val="360F3C" w:themeColor="accent2"/>
      <w:sz w:val="24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19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41E2"/>
    <w:rPr>
      <w:vertAlign w:val="superscript"/>
    </w:rPr>
  </w:style>
  <w:style w:type="paragraph" w:customStyle="1" w:styleId="TableText">
    <w:name w:val="Table Text"/>
    <w:uiPriority w:val="3"/>
    <w:qFormat/>
    <w:rsid w:val="00DC1762"/>
    <w:p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990E03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0E03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4E2599"/>
    <w:pPr>
      <w:spacing w:before="100" w:after="100"/>
    </w:pPr>
    <w:rPr>
      <w:rFonts w:asciiTheme="majorHAnsi" w:eastAsia="Calibri" w:hAnsiTheme="majorHAnsi" w:cs="Times New Roman"/>
      <w:b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D43114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shd w:val="clear" w:color="auto" w:fill="auto"/>
    </w:tcPr>
    <w:tblStylePr w:type="firstRow">
      <w:rPr>
        <w:rFonts w:asciiTheme="majorHAnsi" w:hAnsiTheme="majorHAnsi"/>
        <w:b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3E56FE"/>
    <w:pPr>
      <w:numPr>
        <w:numId w:val="28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30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4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4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4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36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36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36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37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39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40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41"/>
      </w:numPr>
      <w:ind w:left="993" w:hanging="993"/>
    </w:pPr>
  </w:style>
  <w:style w:type="paragraph" w:styleId="TOC4">
    <w:name w:val="toc 4"/>
    <w:next w:val="BodyText"/>
    <w:autoRedefine/>
    <w:uiPriority w:val="39"/>
    <w:rsid w:val="00645654"/>
    <w:pPr>
      <w:tabs>
        <w:tab w:val="left" w:pos="1134"/>
        <w:tab w:val="righ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styleId="NoSpacing">
    <w:name w:val="No Spacing"/>
    <w:uiPriority w:val="1"/>
    <w:semiHidden/>
    <w:rsid w:val="00407F60"/>
    <w:rPr>
      <w:rFonts w:cs="Arial Unicode MS"/>
      <w:bCs/>
      <w:color w:val="222324" w:themeColor="text1"/>
      <w:sz w:val="20"/>
      <w:szCs w:val="20"/>
    </w:rPr>
  </w:style>
  <w:style w:type="character" w:customStyle="1" w:styleId="italic">
    <w:name w:val="italic"/>
    <w:basedOn w:val="DefaultParagraphFont"/>
    <w:rsid w:val="00672FC0"/>
    <w:rPr>
      <w:i/>
    </w:rPr>
  </w:style>
  <w:style w:type="character" w:customStyle="1" w:styleId="link">
    <w:name w:val="link"/>
    <w:basedOn w:val="DefaultParagraphFont"/>
    <w:rsid w:val="00672FC0"/>
  </w:style>
  <w:style w:type="paragraph" w:styleId="Revision">
    <w:name w:val="Revision"/>
    <w:hidden/>
    <w:uiPriority w:val="99"/>
    <w:semiHidden/>
    <w:rsid w:val="00B43213"/>
    <w:rPr>
      <w:rFonts w:cs="Arial Unicode MS"/>
      <w:bCs/>
      <w:color w:val="222324" w:themeColor="text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B3C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CBE"/>
  </w:style>
  <w:style w:type="character" w:customStyle="1" w:styleId="CommentTextChar">
    <w:name w:val="Comment Text Char"/>
    <w:basedOn w:val="DefaultParagraphFont"/>
    <w:link w:val="CommentText"/>
    <w:uiPriority w:val="99"/>
    <w:rsid w:val="00DB3CBE"/>
    <w:rPr>
      <w:rFonts w:cs="Arial Unicode MS"/>
      <w:bCs/>
      <w:color w:val="2223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CBE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CBE"/>
    <w:rPr>
      <w:rFonts w:cs="Arial Unicode MS"/>
      <w:b/>
      <w:bCs/>
      <w:color w:val="222324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rodie\OneDrive%20-%20Australian%20Energy%20Market%20Operator\Documents\FactShe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6CE8C-5F9B-4F5F-A7D3-2BDDB53FFD3F}"/>
      </w:docPartPr>
      <w:docPartBody>
        <w:p w:rsidR="00916AC4" w:rsidRDefault="00E478F6">
          <w:r w:rsidRPr="00015C2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F6"/>
    <w:rsid w:val="00283A06"/>
    <w:rsid w:val="002E1201"/>
    <w:rsid w:val="003F2790"/>
    <w:rsid w:val="004210D6"/>
    <w:rsid w:val="005E7DBD"/>
    <w:rsid w:val="00916AC4"/>
    <w:rsid w:val="00AB3581"/>
    <w:rsid w:val="00BD553A"/>
    <w:rsid w:val="00C92A44"/>
    <w:rsid w:val="00E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78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510a5-8405-4999-89b2-857c16074a7e">
      <Terms xmlns="http://schemas.microsoft.com/office/infopath/2007/PartnerControls"/>
    </lcf76f155ced4ddcb4097134ff3c332f>
    <TaxCatchAll xmlns="5d1a2284-45bc-4927-a9f9-e51f9f17c21a" xsi:nil="true"/>
    <_dlc_DocId xmlns="0db6eae8-03fe-451f-a533-c74d0272aa32">2WWVKM77ZSDU-1134528672-21856</_dlc_DocId>
    <_dlc_DocIdUrl xmlns="0db6eae8-03fe-451f-a533-c74d0272aa32">
      <Url>https://aemocloud.sharepoint.com/sites/VictorianConnections/_layouts/15/DocIdRedir.aspx?ID=2WWVKM77ZSDU-1134528672-21856</Url>
      <Description>2WWVKM77ZSDU-1134528672-21856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AF0AFBE7C0C4E949DEF327AFAD15F" ma:contentTypeVersion="14" ma:contentTypeDescription="Create a new document." ma:contentTypeScope="" ma:versionID="2b26f8e9a001f6fd29a49bdbedafa661">
  <xsd:schema xmlns:xsd="http://www.w3.org/2001/XMLSchema" xmlns:xs="http://www.w3.org/2001/XMLSchema" xmlns:p="http://schemas.microsoft.com/office/2006/metadata/properties" xmlns:ns2="047510a5-8405-4999-89b2-857c16074a7e" xmlns:ns3="0db6eae8-03fe-451f-a533-c74d0272aa32" xmlns:ns4="5d1a2284-45bc-4927-a9f9-e51f9f17c21a" targetNamespace="http://schemas.microsoft.com/office/2006/metadata/properties" ma:root="true" ma:fieldsID="af797b1664e7b4c7b48fd829a49a8496" ns2:_="" ns3:_="" ns4:_="">
    <xsd:import namespace="047510a5-8405-4999-89b2-857c16074a7e"/>
    <xsd:import namespace="0db6eae8-03fe-451f-a533-c74d0272aa32"/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510a5-8405-4999-89b2-857c16074a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e8ba7a3-af95-40f6-9ded-4ebe13adeb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6eae8-03fe-451f-a533-c74d0272a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117bb6-f919-4fb6-a6c8-7c6a4d5c1db5}" ma:internalName="TaxCatchAll" ma:showField="CatchAllData" ma:web="0db6eae8-03fe-451f-a533-c74d0272a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C7C679C-2F29-4487-9457-13EF24673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3F54E7-F6DD-4FF5-ADD8-9A3ACE21E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E3AC9D-EDA9-4AFF-A709-D0891B7B8C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4B90F5-30C7-4624-9183-E5C385D036E4}"/>
</file>

<file path=customXml/itemProps5.xml><?xml version="1.0" encoding="utf-8"?>
<ds:datastoreItem xmlns:ds="http://schemas.openxmlformats.org/officeDocument/2006/customXml" ds:itemID="{82D284F7-8D4C-4A61-9B3D-0788E27675C9}"/>
</file>

<file path=docProps/app.xml><?xml version="1.0" encoding="utf-8"?>
<Properties xmlns="http://schemas.openxmlformats.org/officeDocument/2006/extended-properties" xmlns:vt="http://schemas.openxmlformats.org/officeDocument/2006/docPropsVTypes">
  <Template>FactSheet</Template>
  <TotalTime>1</TotalTime>
  <Pages>5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Brodie</dc:creator>
  <cp:keywords/>
  <dc:description/>
  <cp:lastModifiedBy>Peta Hatzikides</cp:lastModifiedBy>
  <cp:revision>2</cp:revision>
  <cp:lastPrinted>2018-09-13T00:36:00Z</cp:lastPrinted>
  <dcterms:created xsi:type="dcterms:W3CDTF">2024-03-08T03:02:00Z</dcterms:created>
  <dcterms:modified xsi:type="dcterms:W3CDTF">2024-03-08T03:02:00Z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0x010100D06AF0AFBE7C0C4E949DEF327AFAD15F</vt:lpwstr>
  </property>
  <property fmtid="{D5CDD505-2E9C-101B-9397-08002B2CF9AE}" pid="3" name="MSIP_Label_c1941c47-a837-430d-8559-fd118a72769e_Enabled">
    <vt:lpwstr>true</vt:lpwstr>
  </property>
  <property fmtid="{D5CDD505-2E9C-101B-9397-08002B2CF9AE}" pid="4" name="MSIP_Label_c1941c47-a837-430d-8559-fd118a72769e_SetDate">
    <vt:lpwstr>2023-08-07T05:25:03Z</vt:lpwstr>
  </property>
  <property fmtid="{D5CDD505-2E9C-101B-9397-08002B2CF9AE}" pid="5" name="MSIP_Label_c1941c47-a837-430d-8559-fd118a72769e_Method">
    <vt:lpwstr>Standard</vt:lpwstr>
  </property>
  <property fmtid="{D5CDD505-2E9C-101B-9397-08002B2CF9AE}" pid="6" name="MSIP_Label_c1941c47-a837-430d-8559-fd118a72769e_Name">
    <vt:lpwstr>Internal</vt:lpwstr>
  </property>
  <property fmtid="{D5CDD505-2E9C-101B-9397-08002B2CF9AE}" pid="7" name="MSIP_Label_c1941c47-a837-430d-8559-fd118a72769e_SiteId">
    <vt:lpwstr>320c999e-3876-4ad0-b401-d241068e9e60</vt:lpwstr>
  </property>
  <property fmtid="{D5CDD505-2E9C-101B-9397-08002B2CF9AE}" pid="8" name="MSIP_Label_c1941c47-a837-430d-8559-fd118a72769e_ActionId">
    <vt:lpwstr>dbcd5feb-966e-4d5c-80f7-068f5c735303</vt:lpwstr>
  </property>
  <property fmtid="{D5CDD505-2E9C-101B-9397-08002B2CF9AE}" pid="9" name="MSIP_Label_c1941c47-a837-430d-8559-fd118a72769e_ContentBits">
    <vt:lpwstr>0</vt:lpwstr>
  </property>
  <property fmtid="{D5CDD505-2E9C-101B-9397-08002B2CF9AE}" pid="10" name="_dlc_DocIdItemGuid">
    <vt:lpwstr>273fdada-20e3-4b5d-80cd-37139e55f071</vt:lpwstr>
  </property>
</Properties>
</file>