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5CA2B838" w:rsidR="00CF4732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Spot Market Operations Timetable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6841FF18" w:rsidR="00CF4732" w:rsidRDefault="00CF4732" w:rsidP="00B545F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0826AD8B" w:rsidR="00CF4732" w:rsidRPr="00B545F0" w:rsidRDefault="00C1100B" w:rsidP="00B30FEB">
            <w:pPr>
              <w:pStyle w:val="BodyText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34CF8BF7" w:rsidR="00CF4732" w:rsidRDefault="001333E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698218E1" w:rsidR="00CF4732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3F015617" w:rsidR="00366F3D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409EA38F" w:rsidR="00366F3D" w:rsidRPr="00B545F0" w:rsidRDefault="00C1100B" w:rsidP="00B30FEB">
            <w:pPr>
              <w:pStyle w:val="BodyText"/>
              <w:rPr>
                <w:highlight w:val="yellow"/>
                <w:lang w:eastAsia="en-AU"/>
              </w:rPr>
            </w:pPr>
            <w:r w:rsidRPr="00C1100B">
              <w:rPr>
                <w:lang w:eastAsia="en-AU"/>
              </w:rPr>
              <w:t>Spot market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74E64843" w:rsidR="00E7436F" w:rsidRDefault="00B545F0" w:rsidP="00B30FEB">
            <w:pPr>
              <w:pStyle w:val="BodyText"/>
              <w:rPr>
                <w:lang w:eastAsia="en-AU"/>
              </w:rPr>
            </w:pPr>
            <w:r w:rsidRPr="00B545F0">
              <w:rPr>
                <w:lang w:eastAsia="en-AU"/>
              </w:rPr>
              <w:t>http://www.aemo.com.au/-/media/Files/Electricity/NEM/Security_and_Reliability/Dispatch/Spot-Market-Operations-Timetable.pdf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7F2F705F" w:rsidR="00CF4732" w:rsidRDefault="00B545F0" w:rsidP="00CF473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purpose of th</w:t>
            </w:r>
            <w:r w:rsidR="00C1100B">
              <w:rPr>
                <w:lang w:eastAsia="en-AU"/>
              </w:rPr>
              <w:t>e</w:t>
            </w:r>
            <w:r>
              <w:rPr>
                <w:lang w:eastAsia="en-AU"/>
              </w:rPr>
              <w:t xml:space="preserve"> document is to </w:t>
            </w:r>
            <w:r w:rsidR="00C1100B">
              <w:rPr>
                <w:lang w:eastAsia="en-AU"/>
              </w:rPr>
              <w:t>specify</w:t>
            </w:r>
            <w:r>
              <w:rPr>
                <w:lang w:eastAsia="en-AU"/>
              </w:rPr>
              <w:t xml:space="preserve"> </w:t>
            </w:r>
            <w:r w:rsidR="00C1100B">
              <w:rPr>
                <w:lang w:eastAsia="en-AU"/>
              </w:rPr>
              <w:t>the timetable for operating the spot market and publishing market information</w:t>
            </w:r>
            <w:r>
              <w:rPr>
                <w:lang w:eastAsia="en-AU"/>
              </w:rPr>
              <w:t xml:space="preserve">. The document is made in accordance with </w:t>
            </w:r>
            <w:r w:rsidR="00C1100B">
              <w:rPr>
                <w:lang w:eastAsia="en-AU"/>
              </w:rPr>
              <w:t>NER</w:t>
            </w:r>
            <w:r>
              <w:rPr>
                <w:lang w:eastAsia="en-AU"/>
              </w:rPr>
              <w:t xml:space="preserve"> 3.4.3</w:t>
            </w:r>
            <w:r w:rsidR="00C1100B">
              <w:rPr>
                <w:lang w:eastAsia="en-AU"/>
              </w:rPr>
              <w:t>. It</w:t>
            </w:r>
            <w:r>
              <w:rPr>
                <w:lang w:eastAsia="en-AU"/>
              </w:rPr>
              <w:t xml:space="preserve"> also </w:t>
            </w:r>
            <w:r w:rsidR="00C1100B">
              <w:rPr>
                <w:lang w:eastAsia="en-AU"/>
              </w:rPr>
              <w:t>incorporates NER </w:t>
            </w:r>
            <w:r>
              <w:rPr>
                <w:lang w:eastAsia="en-AU"/>
              </w:rPr>
              <w:t xml:space="preserve">3.8.9(d) – </w:t>
            </w:r>
            <w:r w:rsidR="00C1100B">
              <w:rPr>
                <w:lang w:eastAsia="en-AU"/>
              </w:rPr>
              <w:t xml:space="preserve">use of a </w:t>
            </w:r>
            <w:r>
              <w:rPr>
                <w:lang w:eastAsia="en-AU"/>
              </w:rPr>
              <w:t>prior dispatch offer as a substitute for a default dispatch offer</w:t>
            </w:r>
            <w:r w:rsidR="00C1100B">
              <w:rPr>
                <w:lang w:eastAsia="en-AU"/>
              </w:rPr>
              <w:t>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4F6B18EE" w:rsidR="00CF4732" w:rsidRDefault="00C1100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77777777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1F0EB897" w14:textId="4401A9AB" w:rsidR="00B545F0" w:rsidRDefault="00B545F0" w:rsidP="009E412C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>Terminology changes</w:t>
            </w:r>
            <w:r w:rsidR="001333ED">
              <w:rPr>
                <w:lang w:eastAsia="en-AU"/>
              </w:rPr>
              <w:t xml:space="preserve"> to comply with change to 5-minute settlement</w:t>
            </w:r>
          </w:p>
          <w:p w14:paraId="454492E3" w14:textId="603322AD" w:rsidR="00CF4732" w:rsidRDefault="00B545F0" w:rsidP="009E412C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>Add</w:t>
            </w:r>
            <w:r w:rsidR="001333ED">
              <w:rPr>
                <w:lang w:eastAsia="en-AU"/>
              </w:rPr>
              <w:t>ition of</w:t>
            </w:r>
            <w:r w:rsidR="009E412C">
              <w:rPr>
                <w:lang w:eastAsia="en-AU"/>
              </w:rPr>
              <w:t xml:space="preserve"> 5-minute pre-dispatch</w:t>
            </w:r>
          </w:p>
          <w:p w14:paraId="3B215376" w14:textId="771DBF0D" w:rsidR="00292436" w:rsidRDefault="00292436" w:rsidP="009E412C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Transitional bidding </w:t>
            </w:r>
            <w:r w:rsidR="009E412C">
              <w:rPr>
                <w:lang w:eastAsia="en-AU"/>
              </w:rPr>
              <w:t>arrangements</w:t>
            </w:r>
          </w:p>
          <w:p w14:paraId="598FC110" w14:textId="24C634D8" w:rsidR="00B545F0" w:rsidRDefault="00B545F0" w:rsidP="00292436">
            <w:pPr>
              <w:pStyle w:val="BodyText"/>
              <w:rPr>
                <w:lang w:eastAsia="en-AU"/>
              </w:rPr>
            </w:pP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6A6467A4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6303A627" w:rsidR="002B4699" w:rsidRDefault="0029243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63671B25" w:rsidR="002B4699" w:rsidRDefault="009E412C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All NEM participants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9637763" w:rsidR="002B4699" w:rsidRDefault="009E412C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Markets, IT Development</w:t>
            </w:r>
          </w:p>
        </w:tc>
      </w:tr>
      <w:tr w:rsidR="002B4699" w14:paraId="2187C5CA" w14:textId="77777777" w:rsidTr="00432DDB">
        <w:trPr>
          <w:trHeight w:val="2030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1F20D5ED" w:rsidR="002B4699" w:rsidRDefault="009E412C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Implementation of transitional arrangements.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7523008C" w:rsidR="002B4699" w:rsidRDefault="009E412C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292436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B3624D0"/>
    <w:multiLevelType w:val="hybridMultilevel"/>
    <w:tmpl w:val="12B29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D761B"/>
    <w:rsid w:val="000E4BD3"/>
    <w:rsid w:val="000E4F2C"/>
    <w:rsid w:val="000F03C7"/>
    <w:rsid w:val="0010487D"/>
    <w:rsid w:val="00131AE0"/>
    <w:rsid w:val="001333ED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92436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A25EC"/>
    <w:rsid w:val="004B545A"/>
    <w:rsid w:val="004B54FF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6E5D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E412C"/>
    <w:rsid w:val="009F5448"/>
    <w:rsid w:val="009F6F2E"/>
    <w:rsid w:val="009F7908"/>
    <w:rsid w:val="00A03C3F"/>
    <w:rsid w:val="00A341F0"/>
    <w:rsid w:val="00A50648"/>
    <w:rsid w:val="00A55039"/>
    <w:rsid w:val="00A86D1F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50B89"/>
    <w:rsid w:val="00B545F0"/>
    <w:rsid w:val="00B55C73"/>
    <w:rsid w:val="00B64499"/>
    <w:rsid w:val="00B64DD8"/>
    <w:rsid w:val="00B876BA"/>
    <w:rsid w:val="00B96702"/>
    <w:rsid w:val="00B97A02"/>
    <w:rsid w:val="00BA5DA4"/>
    <w:rsid w:val="00BA7257"/>
    <w:rsid w:val="00BA7909"/>
    <w:rsid w:val="00BB521B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00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F0204"/>
    <w:rsid w:val="00DF2D62"/>
    <w:rsid w:val="00DF7E48"/>
    <w:rsid w:val="00E030BC"/>
    <w:rsid w:val="00E46635"/>
    <w:rsid w:val="00E53336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565E"/>
    <w:rsid w:val="00F96832"/>
    <w:rsid w:val="00FA04F0"/>
    <w:rsid w:val="00FA685A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PROJECT-107690352-343</_dlc_DocId>
    <_dlc_DocIdUrl xmlns="a14523ce-dede-483e-883a-2d83261080bd">
      <Url>http://sharedocs/projects/5ms/_layouts/15/DocIdRedir.aspx?ID=PROJECT-107690352-343</Url>
      <Description>PROJECT-107690352-343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7EDE28C-0A0C-41D8-A2AF-F5DA975B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2018-12-20T05:11:00Z</dcterms:created>
  <dcterms:modified xsi:type="dcterms:W3CDTF">2018-12-20T05:11:00Z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7bdb56bc-54ca-41b8-b41c-8a5c101787ec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