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5C5E" w14:textId="29E84B65" w:rsidR="00307D90" w:rsidRDefault="00F410CF" w:rsidP="00307D90">
      <w:pPr>
        <w:pStyle w:val="Heading1"/>
        <w:rPr>
          <w:b/>
        </w:rPr>
      </w:pPr>
      <w:r>
        <w:rPr>
          <w:b/>
        </w:rPr>
        <w:t>Notice of First Stage Consultation</w:t>
      </w:r>
    </w:p>
    <w:p w14:paraId="4F47E778" w14:textId="6CE863B2" w:rsidR="00D07327" w:rsidRPr="00491E51" w:rsidRDefault="00D07327" w:rsidP="00D07327">
      <w:pPr>
        <w:spacing w:line="240" w:lineRule="auto"/>
        <w:rPr>
          <w:color w:val="244061"/>
        </w:rPr>
      </w:pPr>
      <w:r w:rsidRPr="00491E51">
        <w:rPr>
          <w:color w:val="244061"/>
        </w:rPr>
        <w:t xml:space="preserve">National Electricity Rules – </w:t>
      </w:r>
      <w:r w:rsidR="00917A11">
        <w:rPr>
          <w:color w:val="244061"/>
        </w:rPr>
        <w:t>Clause 8.9</w:t>
      </w:r>
    </w:p>
    <w:p w14:paraId="48945C5F" w14:textId="4997C0E5" w:rsidR="00307D90" w:rsidRDefault="00B87CBD" w:rsidP="00307D90">
      <w:pPr>
        <w:pStyle w:val="Linespacer"/>
      </w:pPr>
      <w:r>
        <w:rPr>
          <w:noProof/>
        </w:rPr>
        <mc:AlternateContent>
          <mc:Choice Requires="wps">
            <w:drawing>
              <wp:inline distT="0" distB="0" distL="0" distR="0" wp14:anchorId="48945CAE" wp14:editId="7B035318">
                <wp:extent cx="431800" cy="53975"/>
                <wp:effectExtent l="0" t="0" r="0" b="317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3975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02702" id="Rectangle 2" o:spid="_x0000_s1026" style="width:34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" fillcolor="#948671" stroked="f">
                <w10:anchorlock/>
              </v:rect>
            </w:pict>
          </mc:Fallback>
        </mc:AlternateContent>
      </w:r>
    </w:p>
    <w:p w14:paraId="48945C61" w14:textId="79C63915" w:rsidR="00F410CF" w:rsidRPr="003F14EE" w:rsidRDefault="00E86586" w:rsidP="00491E51">
      <w:pPr>
        <w:pStyle w:val="Heading2"/>
        <w:spacing w:line="240" w:lineRule="auto"/>
        <w:rPr>
          <w:b/>
          <w:color w:val="244061"/>
        </w:rPr>
      </w:pPr>
      <w:r>
        <w:rPr>
          <w:b/>
          <w:color w:val="244061"/>
        </w:rPr>
        <w:t xml:space="preserve">b2b procedure changes </w:t>
      </w:r>
    </w:p>
    <w:p w14:paraId="4DDBA7C2" w14:textId="222ADFB2" w:rsidR="00454EC3" w:rsidRPr="00454EC3" w:rsidRDefault="00454EC3" w:rsidP="00491E51">
      <w:pPr>
        <w:spacing w:line="240" w:lineRule="auto"/>
        <w:jc w:val="both"/>
        <w:rPr>
          <w:color w:val="244061"/>
        </w:rPr>
      </w:pPr>
      <w:r>
        <w:rPr>
          <w:b/>
          <w:color w:val="244061"/>
        </w:rPr>
        <w:t xml:space="preserve">Date of Notice: </w:t>
      </w:r>
      <w:r w:rsidR="00133F67">
        <w:rPr>
          <w:b/>
          <w:color w:val="244061"/>
        </w:rPr>
        <w:t>19</w:t>
      </w:r>
      <w:r w:rsidR="00E86586">
        <w:rPr>
          <w:b/>
          <w:color w:val="244061"/>
        </w:rPr>
        <w:t xml:space="preserve"> March 2018</w:t>
      </w:r>
    </w:p>
    <w:p w14:paraId="118A8A37" w14:textId="4EA0CD02" w:rsidR="00835D27" w:rsidRPr="00E86586" w:rsidRDefault="00E86586" w:rsidP="00835D27">
      <w:pPr>
        <w:spacing w:line="240" w:lineRule="auto"/>
        <w:rPr>
          <w:color w:val="244061"/>
        </w:rPr>
      </w:pPr>
      <w:r w:rsidRPr="00E86586">
        <w:rPr>
          <w:color w:val="244061"/>
        </w:rPr>
        <w:t>This notice informs all Registered Participants and interested parties (Consulted Persons) that AEMO is conducting a consultation on B2B Procedures on behalf of the Information</w:t>
      </w:r>
      <w:r w:rsidR="00835D27" w:rsidRPr="00835D27">
        <w:rPr>
          <w:color w:val="244061"/>
        </w:rPr>
        <w:t xml:space="preserve"> </w:t>
      </w:r>
      <w:r w:rsidR="00835D27">
        <w:rPr>
          <w:color w:val="244061"/>
        </w:rPr>
        <w:t>Ex</w:t>
      </w:r>
      <w:r w:rsidR="00835D27" w:rsidRPr="00E86586">
        <w:rPr>
          <w:color w:val="244061"/>
        </w:rPr>
        <w:t>change Committee (IEC) which have been developed and amended as a result of the National Electricity Amendment (Updating the electricity B2B framework) Rule 2016.</w:t>
      </w:r>
      <w:r w:rsidR="00835D27" w:rsidRPr="00835D27">
        <w:rPr>
          <w:color w:val="244061"/>
        </w:rPr>
        <w:t xml:space="preserve"> </w:t>
      </w:r>
    </w:p>
    <w:p w14:paraId="07D027BB" w14:textId="03EDF964" w:rsid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 xml:space="preserve">This consultation is being </w:t>
      </w:r>
      <w:r w:rsidR="00D907AC">
        <w:rPr>
          <w:color w:val="244061"/>
        </w:rPr>
        <w:t xml:space="preserve">done </w:t>
      </w:r>
      <w:bookmarkStart w:id="0" w:name="_GoBack"/>
      <w:bookmarkEnd w:id="0"/>
      <w:r w:rsidRPr="00E86586">
        <w:rPr>
          <w:color w:val="244061"/>
        </w:rPr>
        <w:t xml:space="preserve">in accordance with the Rules consultation requirements detailed in </w:t>
      </w:r>
      <w:r w:rsidR="00917A11">
        <w:rPr>
          <w:color w:val="244061"/>
        </w:rPr>
        <w:t>clause</w:t>
      </w:r>
      <w:r w:rsidRPr="00E86586">
        <w:rPr>
          <w:color w:val="244061"/>
        </w:rPr>
        <w:t xml:space="preserve"> 8.9 of the NER.</w:t>
      </w:r>
    </w:p>
    <w:p w14:paraId="520DC628" w14:textId="42E57020" w:rsidR="00E86586" w:rsidRPr="00917A11" w:rsidRDefault="00E86586" w:rsidP="00917A11">
      <w:pPr>
        <w:pStyle w:val="ListParagraph"/>
        <w:numPr>
          <w:ilvl w:val="0"/>
          <w:numId w:val="44"/>
        </w:numPr>
        <w:spacing w:before="240" w:line="240" w:lineRule="auto"/>
        <w:rPr>
          <w:b/>
          <w:color w:val="244061"/>
        </w:rPr>
      </w:pPr>
      <w:r w:rsidRPr="00917A11">
        <w:rPr>
          <w:b/>
          <w:color w:val="244061"/>
        </w:rPr>
        <w:t>Background</w:t>
      </w:r>
    </w:p>
    <w:p w14:paraId="06ACAF95" w14:textId="279E094B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On 19th December 2017 the A</w:t>
      </w:r>
      <w:r w:rsidR="00917A11">
        <w:rPr>
          <w:color w:val="244061"/>
        </w:rPr>
        <w:t xml:space="preserve">ustralian </w:t>
      </w:r>
      <w:r w:rsidRPr="00E86586">
        <w:rPr>
          <w:color w:val="244061"/>
        </w:rPr>
        <w:t>E</w:t>
      </w:r>
      <w:r w:rsidR="00917A11">
        <w:rPr>
          <w:color w:val="244061"/>
        </w:rPr>
        <w:t xml:space="preserve">nergy </w:t>
      </w:r>
      <w:r w:rsidRPr="00E86586">
        <w:rPr>
          <w:color w:val="244061"/>
        </w:rPr>
        <w:t>M</w:t>
      </w:r>
      <w:r w:rsidR="00917A11">
        <w:rPr>
          <w:color w:val="244061"/>
        </w:rPr>
        <w:t xml:space="preserve">arket </w:t>
      </w:r>
      <w:r w:rsidRPr="00E86586">
        <w:rPr>
          <w:color w:val="244061"/>
        </w:rPr>
        <w:t>C</w:t>
      </w:r>
      <w:r w:rsidR="00917A11">
        <w:rPr>
          <w:color w:val="244061"/>
        </w:rPr>
        <w:t>ommission</w:t>
      </w:r>
      <w:r w:rsidRPr="00E86586">
        <w:rPr>
          <w:color w:val="244061"/>
        </w:rPr>
        <w:t xml:space="preserve"> published </w:t>
      </w:r>
      <w:r w:rsidR="00917A11">
        <w:rPr>
          <w:color w:val="244061"/>
        </w:rPr>
        <w:t>a F</w:t>
      </w:r>
      <w:r w:rsidRPr="00E86586">
        <w:rPr>
          <w:color w:val="244061"/>
        </w:rPr>
        <w:t xml:space="preserve">inal </w:t>
      </w:r>
      <w:r w:rsidR="00917A11">
        <w:rPr>
          <w:color w:val="244061"/>
        </w:rPr>
        <w:t xml:space="preserve">Determination and an updated </w:t>
      </w:r>
      <w:r w:rsidRPr="00E86586">
        <w:rPr>
          <w:color w:val="244061"/>
        </w:rPr>
        <w:t xml:space="preserve">version of the rule for strengthening protections for customers requiring life support equipment. </w:t>
      </w:r>
    </w:p>
    <w:p w14:paraId="29D8A1E0" w14:textId="0061FDEF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The final rule was made in response to a rule change request submitted by the Australian Energy Regulator (AER), in the context of problems the AER has identified with the current life support provisions. Specifically</w:t>
      </w:r>
      <w:r w:rsidR="00917A11">
        <w:rPr>
          <w:color w:val="244061"/>
        </w:rPr>
        <w:t xml:space="preserve"> where</w:t>
      </w:r>
      <w:r w:rsidRPr="00E86586">
        <w:rPr>
          <w:color w:val="244061"/>
        </w:rPr>
        <w:t xml:space="preserve">: </w:t>
      </w:r>
    </w:p>
    <w:p w14:paraId="76C6D16F" w14:textId="790A9803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 xml:space="preserve">customers requiring life support equipment are not being validly registered to receive protections, putting them at increased risk of harm. </w:t>
      </w:r>
    </w:p>
    <w:p w14:paraId="445D7EF8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>there is no onus on retailers and distributors to provide customers with information to facilitate registration when notified of the need for life support equipment.</w:t>
      </w:r>
    </w:p>
    <w:p w14:paraId="51DCBC72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>life support registers have grown and become increasingly inaccurate  despite mandatory periodic reconciliations.</w:t>
      </w:r>
    </w:p>
    <w:p w14:paraId="1C363EC7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The final rule contains a number of new obligations on both the retailers and distributors in relation to the information which is required to be shared.</w:t>
      </w:r>
    </w:p>
    <w:p w14:paraId="68131834" w14:textId="666DFF76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The changes include:</w:t>
      </w:r>
    </w:p>
    <w:p w14:paraId="3F9480C5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>Required date when life support is needed or not needed.</w:t>
      </w:r>
    </w:p>
    <w:p w14:paraId="3F1CE566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>Relevant contact details.</w:t>
      </w:r>
    </w:p>
    <w:p w14:paraId="5299601B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>Life Support Equipment</w:t>
      </w:r>
    </w:p>
    <w:p w14:paraId="6108D4C8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>A de-registration reason if life support is no longer required.</w:t>
      </w:r>
    </w:p>
    <w:p w14:paraId="2AD7E8DB" w14:textId="77777777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t>•</w:t>
      </w:r>
      <w:r w:rsidRPr="00E86586">
        <w:rPr>
          <w:color w:val="244061"/>
        </w:rPr>
        <w:tab/>
        <w:t xml:space="preserve">A notification advising of life support requirements from the distributor to the retailer where the distributor is the registration process owner (when the customer has transferred). </w:t>
      </w:r>
    </w:p>
    <w:p w14:paraId="770B5097" w14:textId="1A696E2A" w:rsidR="00E86586" w:rsidRPr="00E86586" w:rsidRDefault="00E86586" w:rsidP="00E56168">
      <w:pPr>
        <w:spacing w:before="240" w:line="240" w:lineRule="auto"/>
        <w:rPr>
          <w:color w:val="244061"/>
        </w:rPr>
      </w:pPr>
      <w:r w:rsidRPr="00E86586">
        <w:rPr>
          <w:color w:val="244061"/>
        </w:rPr>
        <w:lastRenderedPageBreak/>
        <w:t>Sharing information regarding Life Support customers between Retailer and Distributors is not new – however the new rules require some additional content to be provided</w:t>
      </w:r>
      <w:r w:rsidR="00C2387A">
        <w:rPr>
          <w:color w:val="244061"/>
        </w:rPr>
        <w:t>.</w:t>
      </w:r>
    </w:p>
    <w:p w14:paraId="0A8D1A6F" w14:textId="77777777" w:rsidR="00E86586" w:rsidRDefault="00E86586" w:rsidP="00E86586">
      <w:pPr>
        <w:keepNext/>
        <w:spacing w:before="240" w:line="240" w:lineRule="auto"/>
        <w:rPr>
          <w:b/>
          <w:color w:val="244061"/>
        </w:rPr>
      </w:pPr>
    </w:p>
    <w:p w14:paraId="11992EB8" w14:textId="77777777" w:rsidR="00E86586" w:rsidRDefault="00E86586" w:rsidP="00E86586">
      <w:pPr>
        <w:keepNext/>
        <w:spacing w:before="240" w:line="240" w:lineRule="auto"/>
        <w:rPr>
          <w:b/>
          <w:color w:val="244061"/>
        </w:rPr>
      </w:pPr>
    </w:p>
    <w:p w14:paraId="7C2FABA6" w14:textId="65F8B734" w:rsidR="00673927" w:rsidRPr="00491E51" w:rsidRDefault="00B07917" w:rsidP="0006311D">
      <w:pPr>
        <w:pStyle w:val="ListParagraph"/>
        <w:numPr>
          <w:ilvl w:val="0"/>
          <w:numId w:val="44"/>
        </w:numPr>
        <w:spacing w:before="240" w:line="240" w:lineRule="auto"/>
        <w:rPr>
          <w:b/>
          <w:color w:val="244061"/>
        </w:rPr>
      </w:pPr>
      <w:r>
        <w:rPr>
          <w:b/>
          <w:color w:val="244061"/>
        </w:rPr>
        <w:t>Matter under</w:t>
      </w:r>
      <w:r w:rsidR="00454EC3">
        <w:rPr>
          <w:b/>
          <w:color w:val="244061"/>
        </w:rPr>
        <w:t xml:space="preserve"> C</w:t>
      </w:r>
      <w:r w:rsidR="00C50A4E">
        <w:rPr>
          <w:b/>
          <w:color w:val="244061"/>
        </w:rPr>
        <w:t>onsultation</w:t>
      </w:r>
    </w:p>
    <w:p w14:paraId="5399D332" w14:textId="57E21199" w:rsidR="00167356" w:rsidRDefault="00E86586" w:rsidP="0078658D">
      <w:pPr>
        <w:pStyle w:val="ListBullet"/>
        <w:numPr>
          <w:ilvl w:val="0"/>
          <w:numId w:val="0"/>
        </w:numPr>
        <w:rPr>
          <w:rStyle w:val="Guidelines"/>
          <w:i w:val="0"/>
          <w:color w:val="244061"/>
        </w:rPr>
      </w:pPr>
      <w:r w:rsidRPr="00E86586">
        <w:rPr>
          <w:rStyle w:val="Guidelines"/>
          <w:i w:val="0"/>
          <w:color w:val="244061"/>
        </w:rPr>
        <w:t xml:space="preserve">The matter for consultation is the following list of procedures which the IEC is proposing to amend and develop under this consultation.  </w:t>
      </w:r>
    </w:p>
    <w:tbl>
      <w:tblPr>
        <w:tblStyle w:val="LightShading-Accent6"/>
        <w:tblW w:w="9214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551"/>
      </w:tblGrid>
      <w:tr w:rsidR="00E86586" w:rsidRPr="00A3264C" w14:paraId="25A71983" w14:textId="77777777" w:rsidTr="00E86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1E4164"/>
          </w:tcPr>
          <w:p w14:paraId="42044B99" w14:textId="77777777" w:rsidR="00E86586" w:rsidRPr="00026ADE" w:rsidRDefault="00E86586" w:rsidP="00026ADE">
            <w:pPr>
              <w:pStyle w:val="TableHeaderText"/>
              <w:rPr>
                <w:szCs w:val="18"/>
              </w:rPr>
            </w:pPr>
            <w:r w:rsidRPr="00026ADE">
              <w:rPr>
                <w:szCs w:val="18"/>
              </w:rPr>
              <w:t>INSTRUMENT</w:t>
            </w:r>
          </w:p>
        </w:tc>
        <w:tc>
          <w:tcPr>
            <w:tcW w:w="2551" w:type="dxa"/>
            <w:shd w:val="clear" w:color="auto" w:fill="1E4164"/>
          </w:tcPr>
          <w:p w14:paraId="39D4FFAE" w14:textId="77777777" w:rsidR="00E86586" w:rsidRPr="00026ADE" w:rsidRDefault="00E86586" w:rsidP="00026ADE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026ADE">
              <w:rPr>
                <w:szCs w:val="18"/>
              </w:rPr>
              <w:t>NEW / AMENDED</w:t>
            </w:r>
          </w:p>
        </w:tc>
      </w:tr>
      <w:tr w:rsidR="00E86586" w:rsidRPr="00ED1BE2" w14:paraId="06310675" w14:textId="77777777" w:rsidTr="00E865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EE8F9"/>
            <w:hideMark/>
          </w:tcPr>
          <w:p w14:paraId="73E23D2F" w14:textId="37BA277E" w:rsidR="00E86586" w:rsidRPr="00026ADE" w:rsidRDefault="00E86586" w:rsidP="00026ADE">
            <w:pPr>
              <w:pStyle w:val="NOCIndentedBodyText"/>
              <w:ind w:left="0"/>
              <w:rPr>
                <w:b w:val="0"/>
                <w:color w:val="002060"/>
                <w:sz w:val="18"/>
                <w:szCs w:val="18"/>
              </w:rPr>
            </w:pPr>
            <w:r>
              <w:rPr>
                <w:b w:val="0"/>
                <w:color w:val="002060"/>
                <w:sz w:val="18"/>
                <w:szCs w:val="18"/>
              </w:rPr>
              <w:t>Customer Site Details Notification</w:t>
            </w:r>
          </w:p>
        </w:tc>
        <w:tc>
          <w:tcPr>
            <w:tcW w:w="2551" w:type="dxa"/>
            <w:shd w:val="clear" w:color="auto" w:fill="CEE8F9"/>
            <w:hideMark/>
          </w:tcPr>
          <w:p w14:paraId="4952248B" w14:textId="008B0A7C" w:rsidR="00E86586" w:rsidRPr="00026ADE" w:rsidRDefault="00E86586" w:rsidP="00026ADE">
            <w:pPr>
              <w:pStyle w:val="NOCIndented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Amended (Major)</w:t>
            </w:r>
          </w:p>
        </w:tc>
      </w:tr>
      <w:tr w:rsidR="00E86586" w:rsidRPr="00900C5E" w14:paraId="447FC183" w14:textId="77777777" w:rsidTr="00E865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EE8F9"/>
            <w:noWrap/>
            <w:hideMark/>
          </w:tcPr>
          <w:p w14:paraId="268C2668" w14:textId="63849384" w:rsidR="00E86586" w:rsidRPr="00026ADE" w:rsidRDefault="00E86586" w:rsidP="00026ADE">
            <w:pPr>
              <w:pStyle w:val="NOCIndentedBodyText"/>
              <w:ind w:left="0"/>
              <w:rPr>
                <w:b w:val="0"/>
                <w:color w:val="002060"/>
                <w:sz w:val="18"/>
                <w:szCs w:val="18"/>
              </w:rPr>
            </w:pPr>
            <w:r>
              <w:rPr>
                <w:b w:val="0"/>
                <w:color w:val="002060"/>
                <w:sz w:val="18"/>
                <w:szCs w:val="18"/>
              </w:rPr>
              <w:t>Service Order</w:t>
            </w:r>
          </w:p>
        </w:tc>
        <w:tc>
          <w:tcPr>
            <w:tcW w:w="2551" w:type="dxa"/>
            <w:shd w:val="clear" w:color="auto" w:fill="CEE8F9"/>
            <w:hideMark/>
          </w:tcPr>
          <w:p w14:paraId="69AA2258" w14:textId="262F6CDC" w:rsidR="00E86586" w:rsidRPr="00026ADE" w:rsidRDefault="00E86586" w:rsidP="00026ADE">
            <w:pPr>
              <w:pStyle w:val="NOCIndented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026ADE">
              <w:rPr>
                <w:color w:val="002060"/>
                <w:sz w:val="18"/>
                <w:szCs w:val="18"/>
              </w:rPr>
              <w:t>Amended</w:t>
            </w:r>
            <w:r>
              <w:rPr>
                <w:color w:val="002060"/>
                <w:sz w:val="18"/>
                <w:szCs w:val="18"/>
              </w:rPr>
              <w:t xml:space="preserve"> (Version control only)</w:t>
            </w:r>
          </w:p>
        </w:tc>
      </w:tr>
      <w:tr w:rsidR="00E86586" w:rsidRPr="00900C5E" w14:paraId="1165E98C" w14:textId="77777777" w:rsidTr="00E865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EE8F9"/>
            <w:hideMark/>
          </w:tcPr>
          <w:p w14:paraId="71D70B91" w14:textId="33755219" w:rsidR="00E86586" w:rsidRPr="00026ADE" w:rsidRDefault="00E86586" w:rsidP="00026ADE">
            <w:pPr>
              <w:pStyle w:val="NOCIndentedBodyText"/>
              <w:ind w:left="0"/>
              <w:rPr>
                <w:b w:val="0"/>
                <w:color w:val="002060"/>
                <w:sz w:val="18"/>
                <w:szCs w:val="18"/>
              </w:rPr>
            </w:pPr>
            <w:r>
              <w:rPr>
                <w:b w:val="0"/>
                <w:color w:val="002060"/>
                <w:sz w:val="18"/>
                <w:szCs w:val="18"/>
              </w:rPr>
              <w:t>Meter Data Process</w:t>
            </w:r>
          </w:p>
        </w:tc>
        <w:tc>
          <w:tcPr>
            <w:tcW w:w="2551" w:type="dxa"/>
            <w:shd w:val="clear" w:color="auto" w:fill="CEE8F9"/>
            <w:hideMark/>
          </w:tcPr>
          <w:p w14:paraId="61E3AC2A" w14:textId="455ACB81" w:rsidR="00E86586" w:rsidRPr="00026ADE" w:rsidRDefault="00E86586" w:rsidP="00026ADE">
            <w:pPr>
              <w:pStyle w:val="NOCIndented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E86586">
              <w:rPr>
                <w:color w:val="002060"/>
                <w:sz w:val="18"/>
                <w:szCs w:val="18"/>
              </w:rPr>
              <w:t>Amended (Version control only)</w:t>
            </w:r>
          </w:p>
        </w:tc>
      </w:tr>
      <w:tr w:rsidR="00E86586" w:rsidRPr="00900C5E" w14:paraId="717DD4D7" w14:textId="77777777" w:rsidTr="00E8658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EE8F9"/>
            <w:hideMark/>
          </w:tcPr>
          <w:p w14:paraId="0687EDAD" w14:textId="0BB6137C" w:rsidR="00E86586" w:rsidRPr="00026ADE" w:rsidRDefault="00E86586" w:rsidP="00026ADE">
            <w:pPr>
              <w:pStyle w:val="NOCIndentedBodyText"/>
              <w:ind w:left="0"/>
              <w:rPr>
                <w:b w:val="0"/>
                <w:color w:val="002060"/>
                <w:sz w:val="18"/>
                <w:szCs w:val="18"/>
              </w:rPr>
            </w:pPr>
            <w:r>
              <w:rPr>
                <w:b w:val="0"/>
                <w:color w:val="002060"/>
                <w:sz w:val="18"/>
                <w:szCs w:val="18"/>
              </w:rPr>
              <w:t>One Way Notification</w:t>
            </w:r>
          </w:p>
        </w:tc>
        <w:tc>
          <w:tcPr>
            <w:tcW w:w="2551" w:type="dxa"/>
            <w:shd w:val="clear" w:color="auto" w:fill="CEE8F9"/>
            <w:hideMark/>
          </w:tcPr>
          <w:p w14:paraId="27B5C3BE" w14:textId="07843693" w:rsidR="00E86586" w:rsidRPr="00026ADE" w:rsidRDefault="00E86586" w:rsidP="00026ADE">
            <w:pPr>
              <w:pStyle w:val="NOCIndented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E86586">
              <w:rPr>
                <w:color w:val="002060"/>
                <w:sz w:val="18"/>
                <w:szCs w:val="18"/>
              </w:rPr>
              <w:t>Amended (Version control only)</w:t>
            </w:r>
          </w:p>
        </w:tc>
      </w:tr>
      <w:tr w:rsidR="00E86586" w:rsidRPr="00900C5E" w14:paraId="1518DA2A" w14:textId="77777777" w:rsidTr="00E865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EE8F9"/>
            <w:noWrap/>
            <w:hideMark/>
          </w:tcPr>
          <w:p w14:paraId="0CC674E9" w14:textId="5AACA5F2" w:rsidR="00E86586" w:rsidRPr="00026ADE" w:rsidRDefault="00E86586" w:rsidP="00026ADE">
            <w:pPr>
              <w:pStyle w:val="NOCIndentedBodyText"/>
              <w:ind w:left="0"/>
              <w:rPr>
                <w:b w:val="0"/>
                <w:color w:val="002060"/>
                <w:sz w:val="18"/>
                <w:szCs w:val="18"/>
              </w:rPr>
            </w:pPr>
            <w:r>
              <w:rPr>
                <w:b w:val="0"/>
                <w:color w:val="002060"/>
                <w:sz w:val="18"/>
                <w:szCs w:val="18"/>
              </w:rPr>
              <w:t>Technical Delivery Specification</w:t>
            </w:r>
          </w:p>
        </w:tc>
        <w:tc>
          <w:tcPr>
            <w:tcW w:w="2551" w:type="dxa"/>
            <w:shd w:val="clear" w:color="auto" w:fill="CEE8F9"/>
            <w:hideMark/>
          </w:tcPr>
          <w:p w14:paraId="347FD29B" w14:textId="763972B0" w:rsidR="00E86586" w:rsidRPr="00026ADE" w:rsidRDefault="00E86586" w:rsidP="00026ADE">
            <w:pPr>
              <w:pStyle w:val="NOCIndented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E86586">
              <w:rPr>
                <w:color w:val="002060"/>
                <w:sz w:val="18"/>
                <w:szCs w:val="18"/>
              </w:rPr>
              <w:t>Amended (Version control only)</w:t>
            </w:r>
          </w:p>
        </w:tc>
      </w:tr>
    </w:tbl>
    <w:p w14:paraId="773841AC" w14:textId="544706B6" w:rsidR="00BA34BD" w:rsidRDefault="001A2171" w:rsidP="0078658D">
      <w:pPr>
        <w:pStyle w:val="ListBullet"/>
        <w:numPr>
          <w:ilvl w:val="0"/>
          <w:numId w:val="0"/>
        </w:numPr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t xml:space="preserve"> </w:t>
      </w:r>
    </w:p>
    <w:p w14:paraId="33429CB1" w14:textId="77777777" w:rsidR="00E56168" w:rsidRDefault="00E56168" w:rsidP="00EE5DC9">
      <w:pPr>
        <w:keepNext/>
        <w:tabs>
          <w:tab w:val="clear" w:pos="397"/>
          <w:tab w:val="clear" w:pos="794"/>
          <w:tab w:val="clear" w:pos="1191"/>
        </w:tabs>
        <w:spacing w:before="240" w:line="240" w:lineRule="auto"/>
        <w:rPr>
          <w:b/>
          <w:color w:val="244061"/>
        </w:rPr>
      </w:pPr>
      <w:r>
        <w:rPr>
          <w:b/>
          <w:color w:val="244061"/>
        </w:rPr>
        <w:t>Long Term Solution Options</w:t>
      </w:r>
    </w:p>
    <w:p w14:paraId="384AB65C" w14:textId="6C213D2D" w:rsidR="00E56168" w:rsidRDefault="002C52F7" w:rsidP="00EE5DC9">
      <w:pPr>
        <w:keepNext/>
        <w:tabs>
          <w:tab w:val="clear" w:pos="397"/>
          <w:tab w:val="clear" w:pos="794"/>
          <w:tab w:val="clear" w:pos="1191"/>
        </w:tabs>
        <w:spacing w:before="240" w:line="240" w:lineRule="auto"/>
        <w:rPr>
          <w:rStyle w:val="Guidelines"/>
          <w:i w:val="0"/>
          <w:color w:val="244061"/>
          <w:lang w:eastAsia="en-US"/>
        </w:rPr>
      </w:pPr>
      <w:r>
        <w:rPr>
          <w:rStyle w:val="Guidelines"/>
          <w:i w:val="0"/>
          <w:color w:val="244061"/>
          <w:lang w:eastAsia="en-US"/>
        </w:rPr>
        <w:t xml:space="preserve">After being presented 4 solutions </w:t>
      </w:r>
      <w:r w:rsidR="00985F0E">
        <w:rPr>
          <w:rStyle w:val="Guidelines"/>
          <w:i w:val="0"/>
          <w:color w:val="244061"/>
          <w:lang w:eastAsia="en-US"/>
        </w:rPr>
        <w:t>created</w:t>
      </w:r>
      <w:r>
        <w:rPr>
          <w:rStyle w:val="Guidelines"/>
          <w:i w:val="0"/>
          <w:color w:val="244061"/>
          <w:lang w:eastAsia="en-US"/>
        </w:rPr>
        <w:t xml:space="preserve"> by the B2BWG a</w:t>
      </w:r>
      <w:r w:rsidR="00E56168" w:rsidRPr="00E56168">
        <w:rPr>
          <w:rStyle w:val="Guidelines"/>
          <w:i w:val="0"/>
          <w:color w:val="244061"/>
          <w:lang w:eastAsia="en-US"/>
        </w:rPr>
        <w:t xml:space="preserve"> decision was made</w:t>
      </w:r>
      <w:r w:rsidR="00E56168">
        <w:rPr>
          <w:rStyle w:val="Guidelines"/>
          <w:i w:val="0"/>
          <w:color w:val="244061"/>
          <w:lang w:eastAsia="en-US"/>
        </w:rPr>
        <w:t xml:space="preserve"> by the IEC to implement the email solution as an interim solution and explore two options for the long term solution to be implemented by end of 2019</w:t>
      </w:r>
      <w:r w:rsidR="0006311D">
        <w:rPr>
          <w:rStyle w:val="Guidelines"/>
          <w:i w:val="0"/>
          <w:color w:val="244061"/>
          <w:lang w:eastAsia="en-US"/>
        </w:rPr>
        <w:t xml:space="preserve"> as part of this consultation</w:t>
      </w:r>
      <w:r w:rsidR="00E56168">
        <w:rPr>
          <w:rStyle w:val="Guidelines"/>
          <w:i w:val="0"/>
          <w:color w:val="244061"/>
          <w:lang w:eastAsia="en-US"/>
        </w:rPr>
        <w:t>.</w:t>
      </w:r>
    </w:p>
    <w:p w14:paraId="0B5931D1" w14:textId="798BE0F6" w:rsidR="00E56168" w:rsidRDefault="00E56168" w:rsidP="00EE5DC9">
      <w:pPr>
        <w:keepNext/>
        <w:tabs>
          <w:tab w:val="clear" w:pos="397"/>
          <w:tab w:val="clear" w:pos="794"/>
          <w:tab w:val="clear" w:pos="1191"/>
        </w:tabs>
        <w:spacing w:before="240" w:line="240" w:lineRule="auto"/>
        <w:rPr>
          <w:rStyle w:val="Guidelines"/>
          <w:i w:val="0"/>
          <w:color w:val="244061"/>
          <w:lang w:eastAsia="en-US"/>
        </w:rPr>
      </w:pPr>
      <w:r>
        <w:rPr>
          <w:rStyle w:val="Guidelines"/>
          <w:i w:val="0"/>
          <w:color w:val="244061"/>
          <w:lang w:eastAsia="en-US"/>
        </w:rPr>
        <w:t>The two options are:</w:t>
      </w:r>
    </w:p>
    <w:p w14:paraId="5C6BE5AF" w14:textId="77777777" w:rsidR="0006311D" w:rsidRDefault="0006311D" w:rsidP="00E56168">
      <w:pPr>
        <w:spacing w:before="240" w:after="240"/>
        <w:rPr>
          <w:rStyle w:val="Guidelines"/>
          <w:i w:val="0"/>
          <w:color w:val="244061"/>
          <w:lang w:eastAsia="en-US"/>
        </w:rPr>
      </w:pPr>
      <w:r>
        <w:rPr>
          <w:rStyle w:val="Guidelines"/>
          <w:i w:val="0"/>
          <w:color w:val="244061"/>
          <w:lang w:eastAsia="en-US"/>
        </w:rPr>
        <w:t xml:space="preserve">Option 1 - </w:t>
      </w:r>
      <w:r w:rsidR="00E56168">
        <w:rPr>
          <w:rStyle w:val="Guidelines"/>
          <w:i w:val="0"/>
          <w:color w:val="244061"/>
          <w:lang w:eastAsia="en-US"/>
        </w:rPr>
        <w:t xml:space="preserve">B2B Transaction: </w:t>
      </w:r>
    </w:p>
    <w:p w14:paraId="46089617" w14:textId="2574ADAB" w:rsidR="00CD4498" w:rsidRDefault="00E56168" w:rsidP="00E56168">
      <w:pPr>
        <w:spacing w:before="240" w:after="240"/>
        <w:rPr>
          <w:rStyle w:val="Guidelines"/>
          <w:i w:val="0"/>
          <w:color w:val="244061"/>
        </w:rPr>
      </w:pPr>
      <w:r w:rsidRPr="00E56168">
        <w:rPr>
          <w:rStyle w:val="Guidelines"/>
          <w:i w:val="0"/>
          <w:color w:val="244061"/>
        </w:rPr>
        <w:t xml:space="preserve">This option is to have the life support notification that is required to be provided to the relevant participants be delivered by a new </w:t>
      </w:r>
      <w:r w:rsidR="0006311D">
        <w:rPr>
          <w:rStyle w:val="Guidelines"/>
          <w:i w:val="0"/>
          <w:color w:val="244061"/>
        </w:rPr>
        <w:t xml:space="preserve">B2B </w:t>
      </w:r>
      <w:r w:rsidRPr="00E56168">
        <w:rPr>
          <w:rStyle w:val="Guidelines"/>
          <w:i w:val="0"/>
          <w:color w:val="244061"/>
        </w:rPr>
        <w:t>transaction. A new schema may be required.</w:t>
      </w:r>
      <w:r w:rsidR="0006311D">
        <w:rPr>
          <w:rStyle w:val="Guidelines"/>
          <w:i w:val="0"/>
          <w:color w:val="244061"/>
        </w:rPr>
        <w:t xml:space="preserve"> </w:t>
      </w:r>
      <w:r w:rsidRPr="00E56168">
        <w:rPr>
          <w:rStyle w:val="Guidelines"/>
          <w:i w:val="0"/>
          <w:color w:val="244061"/>
        </w:rPr>
        <w:t xml:space="preserve">The new transaction </w:t>
      </w:r>
      <w:r w:rsidR="0006311D">
        <w:rPr>
          <w:rStyle w:val="Guidelines"/>
          <w:i w:val="0"/>
          <w:color w:val="244061"/>
        </w:rPr>
        <w:t>would</w:t>
      </w:r>
      <w:r w:rsidRPr="00E56168">
        <w:rPr>
          <w:rStyle w:val="Guidelines"/>
          <w:i w:val="0"/>
          <w:color w:val="244061"/>
        </w:rPr>
        <w:t xml:space="preserve"> be sent by the current or prospective Retailers and DNSPs.</w:t>
      </w:r>
    </w:p>
    <w:p w14:paraId="0837410E" w14:textId="24C2BAA0" w:rsidR="002C52F7" w:rsidRDefault="002C52F7" w:rsidP="00E56168">
      <w:pPr>
        <w:spacing w:before="240" w:after="240"/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t xml:space="preserve">The B2BWG has explored this option and a fair amount of work was done creating a transaction that could be used for the delivery of life support information. </w:t>
      </w:r>
      <w:r w:rsidR="00985F0E">
        <w:rPr>
          <w:rStyle w:val="Guidelines"/>
          <w:i w:val="0"/>
          <w:color w:val="244061"/>
        </w:rPr>
        <w:t>This was one of the solutions presented to the IEC.</w:t>
      </w:r>
    </w:p>
    <w:p w14:paraId="5BF9D66E" w14:textId="77777777" w:rsidR="00133F67" w:rsidRDefault="00133F67">
      <w:pPr>
        <w:tabs>
          <w:tab w:val="clear" w:pos="397"/>
          <w:tab w:val="clear" w:pos="794"/>
          <w:tab w:val="clear" w:pos="1191"/>
        </w:tabs>
        <w:spacing w:after="0" w:line="240" w:lineRule="auto"/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br w:type="page"/>
      </w:r>
    </w:p>
    <w:p w14:paraId="505F010A" w14:textId="1B0CFAAF" w:rsidR="0006311D" w:rsidRDefault="0006311D" w:rsidP="00E56168">
      <w:pPr>
        <w:spacing w:before="240" w:after="240"/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lastRenderedPageBreak/>
        <w:t xml:space="preserve">Option 2 - </w:t>
      </w:r>
      <w:r w:rsidR="006E7E64" w:rsidRPr="006E7E64">
        <w:rPr>
          <w:rStyle w:val="Guidelines"/>
          <w:i w:val="0"/>
          <w:color w:val="244061"/>
        </w:rPr>
        <w:t>Central Repository</w:t>
      </w:r>
      <w:r w:rsidR="006E7E64">
        <w:rPr>
          <w:rStyle w:val="Guidelines"/>
          <w:i w:val="0"/>
          <w:color w:val="244061"/>
        </w:rPr>
        <w:t xml:space="preserve">: </w:t>
      </w:r>
    </w:p>
    <w:p w14:paraId="2552F704" w14:textId="507CF951" w:rsidR="00E56168" w:rsidRDefault="006E7E64" w:rsidP="00E56168">
      <w:pPr>
        <w:spacing w:before="240" w:after="240"/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t xml:space="preserve">This option is to have life support information </w:t>
      </w:r>
      <w:r w:rsidR="0006311D">
        <w:rPr>
          <w:rStyle w:val="Guidelines"/>
          <w:i w:val="0"/>
          <w:color w:val="244061"/>
        </w:rPr>
        <w:t xml:space="preserve">stored </w:t>
      </w:r>
      <w:r>
        <w:rPr>
          <w:rStyle w:val="Guidelines"/>
          <w:i w:val="0"/>
          <w:color w:val="244061"/>
        </w:rPr>
        <w:t xml:space="preserve">in a central </w:t>
      </w:r>
      <w:r w:rsidR="0006311D">
        <w:rPr>
          <w:rStyle w:val="Guidelines"/>
          <w:i w:val="0"/>
          <w:color w:val="244061"/>
        </w:rPr>
        <w:t>repository</w:t>
      </w:r>
      <w:r>
        <w:rPr>
          <w:rStyle w:val="Guidelines"/>
          <w:i w:val="0"/>
          <w:color w:val="244061"/>
        </w:rPr>
        <w:t xml:space="preserve"> that will allow participants to create, update, remove and discover life support information. </w:t>
      </w:r>
      <w:r w:rsidR="0006311D">
        <w:rPr>
          <w:rStyle w:val="Guidelines"/>
          <w:i w:val="0"/>
          <w:color w:val="244061"/>
        </w:rPr>
        <w:t>The creation</w:t>
      </w:r>
      <w:r>
        <w:rPr>
          <w:rStyle w:val="Guidelines"/>
          <w:i w:val="0"/>
          <w:color w:val="244061"/>
        </w:rPr>
        <w:t>, update</w:t>
      </w:r>
      <w:r w:rsidR="0006311D">
        <w:rPr>
          <w:rStyle w:val="Guidelines"/>
          <w:i w:val="0"/>
          <w:color w:val="244061"/>
        </w:rPr>
        <w:t xml:space="preserve"> and removal</w:t>
      </w:r>
      <w:r>
        <w:rPr>
          <w:rStyle w:val="Guidelines"/>
          <w:i w:val="0"/>
          <w:color w:val="244061"/>
        </w:rPr>
        <w:t xml:space="preserve"> will only be performed by the registration process owner of the life support information. Discovery can be performed by current participants who have a relationship with the customer or participants who may have a future relationship with the customer.</w:t>
      </w:r>
    </w:p>
    <w:p w14:paraId="65757077" w14:textId="4508C3D0" w:rsidR="00985F0E" w:rsidRPr="00133F67" w:rsidRDefault="00985F0E" w:rsidP="00E56168">
      <w:pPr>
        <w:spacing w:before="240" w:after="240"/>
        <w:rPr>
          <w:rStyle w:val="Guidelines"/>
          <w:i w:val="0"/>
          <w:color w:val="244061"/>
        </w:rPr>
      </w:pPr>
      <w:r w:rsidRPr="00133F67">
        <w:rPr>
          <w:rStyle w:val="Guidelines"/>
          <w:i w:val="0"/>
          <w:color w:val="244061"/>
        </w:rPr>
        <w:t xml:space="preserve">This option was discussed at the IEC </w:t>
      </w:r>
      <w:r w:rsidR="00133F67">
        <w:rPr>
          <w:rStyle w:val="Guidelines"/>
          <w:i w:val="0"/>
          <w:color w:val="244061"/>
        </w:rPr>
        <w:t xml:space="preserve">meeting in February </w:t>
      </w:r>
      <w:r w:rsidRPr="00133F67">
        <w:rPr>
          <w:rStyle w:val="Guidelines"/>
          <w:i w:val="0"/>
          <w:color w:val="244061"/>
        </w:rPr>
        <w:t xml:space="preserve">and was not a solution put to them by the B2BWG. AEMO </w:t>
      </w:r>
      <w:r w:rsidR="00133F67" w:rsidRPr="00133F67">
        <w:rPr>
          <w:rStyle w:val="Guidelines"/>
          <w:i w:val="0"/>
          <w:color w:val="244061"/>
        </w:rPr>
        <w:t>will</w:t>
      </w:r>
      <w:r w:rsidRPr="00133F67">
        <w:rPr>
          <w:rStyle w:val="Guidelines"/>
          <w:i w:val="0"/>
          <w:color w:val="244061"/>
        </w:rPr>
        <w:t xml:space="preserve"> need to perform an analysis as to whether this could meet all of the requirements of the rule change and what would need to be created/modified to allow these requirements to be met.</w:t>
      </w:r>
    </w:p>
    <w:p w14:paraId="26335E06" w14:textId="31D54F4B" w:rsidR="006E7E64" w:rsidRPr="006E7E64" w:rsidRDefault="006E7E64" w:rsidP="00E56168">
      <w:pPr>
        <w:spacing w:before="240" w:after="240"/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t xml:space="preserve">AEMO and the IEC invite participants to provide </w:t>
      </w:r>
      <w:r w:rsidR="00133F67">
        <w:rPr>
          <w:rStyle w:val="Guidelines"/>
          <w:i w:val="0"/>
          <w:color w:val="244061"/>
        </w:rPr>
        <w:t>comment</w:t>
      </w:r>
      <w:r>
        <w:rPr>
          <w:rStyle w:val="Guidelines"/>
          <w:i w:val="0"/>
          <w:color w:val="244061"/>
        </w:rPr>
        <w:t xml:space="preserve"> on the </w:t>
      </w:r>
      <w:r w:rsidR="00133F67">
        <w:rPr>
          <w:rStyle w:val="Guidelines"/>
          <w:i w:val="0"/>
          <w:color w:val="244061"/>
        </w:rPr>
        <w:t xml:space="preserve">above </w:t>
      </w:r>
      <w:r>
        <w:rPr>
          <w:rStyle w:val="Guidelines"/>
          <w:i w:val="0"/>
          <w:color w:val="244061"/>
        </w:rPr>
        <w:t>option</w:t>
      </w:r>
      <w:r w:rsidR="00133F67">
        <w:rPr>
          <w:rStyle w:val="Guidelines"/>
          <w:i w:val="0"/>
          <w:color w:val="244061"/>
        </w:rPr>
        <w:t xml:space="preserve">s and what </w:t>
      </w:r>
      <w:r>
        <w:rPr>
          <w:rStyle w:val="Guidelines"/>
          <w:i w:val="0"/>
          <w:color w:val="244061"/>
        </w:rPr>
        <w:t xml:space="preserve">they believe would be the best outcome for </w:t>
      </w:r>
      <w:r w:rsidR="0006311D">
        <w:rPr>
          <w:rStyle w:val="Guidelines"/>
          <w:i w:val="0"/>
          <w:color w:val="244061"/>
        </w:rPr>
        <w:t xml:space="preserve">customers and </w:t>
      </w:r>
      <w:r>
        <w:rPr>
          <w:rStyle w:val="Guidelines"/>
          <w:i w:val="0"/>
          <w:color w:val="244061"/>
        </w:rPr>
        <w:t>industry. AEMO and the IEC will then review this feedback and make a decision on the option that will be explored, designed and implemented.</w:t>
      </w:r>
    </w:p>
    <w:p w14:paraId="48945C84" w14:textId="09957726" w:rsidR="00F410CF" w:rsidRPr="00491E51" w:rsidRDefault="00F410CF" w:rsidP="00EE5DC9">
      <w:pPr>
        <w:keepNext/>
        <w:tabs>
          <w:tab w:val="clear" w:pos="397"/>
          <w:tab w:val="clear" w:pos="794"/>
          <w:tab w:val="clear" w:pos="1191"/>
        </w:tabs>
        <w:spacing w:before="240"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The </w:t>
      </w:r>
      <w:r w:rsidR="00491E51" w:rsidRPr="00491E51">
        <w:rPr>
          <w:b/>
          <w:color w:val="244061"/>
        </w:rPr>
        <w:t>Consultation Process</w:t>
      </w:r>
    </w:p>
    <w:p w14:paraId="48945C85" w14:textId="37464BCE" w:rsidR="00F410CF" w:rsidRPr="00491E51" w:rsidRDefault="005F2B56" w:rsidP="007A3C1A">
      <w:pPr>
        <w:spacing w:before="240" w:line="240" w:lineRule="auto"/>
        <w:jc w:val="both"/>
        <w:rPr>
          <w:color w:val="244061"/>
        </w:rPr>
      </w:pPr>
      <w:r>
        <w:rPr>
          <w:color w:val="244061"/>
        </w:rPr>
        <w:t xml:space="preserve">The </w:t>
      </w:r>
      <w:r w:rsidR="00F410CF" w:rsidRPr="00491E51">
        <w:rPr>
          <w:color w:val="244061"/>
        </w:rPr>
        <w:t>consultation process</w:t>
      </w:r>
      <w:r w:rsidR="00436FA3">
        <w:rPr>
          <w:color w:val="244061"/>
        </w:rPr>
        <w:t xml:space="preserve"> </w:t>
      </w:r>
      <w:r w:rsidR="0006311D">
        <w:rPr>
          <w:color w:val="244061"/>
        </w:rPr>
        <w:t xml:space="preserve">and timeline </w:t>
      </w:r>
      <w:r w:rsidR="00436FA3">
        <w:rPr>
          <w:color w:val="244061"/>
        </w:rPr>
        <w:t>is outlined below</w:t>
      </w:r>
      <w:r w:rsidR="00D07327">
        <w:rPr>
          <w:color w:val="244061"/>
        </w:rPr>
        <w:t xml:space="preserve">. </w:t>
      </w:r>
      <w:r w:rsidR="00436FA3">
        <w:rPr>
          <w:color w:val="244061"/>
        </w:rPr>
        <w:t>Dates</w:t>
      </w:r>
      <w:r w:rsidR="00F410CF" w:rsidRPr="00491E51">
        <w:rPr>
          <w:color w:val="244061"/>
        </w:rPr>
        <w:t xml:space="preserve"> are </w:t>
      </w:r>
      <w:r w:rsidR="0086785A">
        <w:rPr>
          <w:color w:val="244061"/>
        </w:rPr>
        <w:t xml:space="preserve">indicative only </w:t>
      </w:r>
      <w:r w:rsidR="00F410CF" w:rsidRPr="00491E51">
        <w:rPr>
          <w:color w:val="244061"/>
        </w:rPr>
        <w:t xml:space="preserve">and subject to change. </w:t>
      </w:r>
    </w:p>
    <w:tbl>
      <w:tblPr>
        <w:tblW w:w="5000" w:type="pct"/>
        <w:tblBorders>
          <w:insideH w:val="single" w:sz="2" w:space="0" w:color="FFFFFF"/>
          <w:insideV w:val="single" w:sz="2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6763"/>
        <w:gridCol w:w="2307"/>
      </w:tblGrid>
      <w:tr w:rsidR="00F410CF" w:rsidRPr="000F09A7" w14:paraId="48945C88" w14:textId="77777777" w:rsidTr="00711C30">
        <w:tc>
          <w:tcPr>
            <w:tcW w:w="3728" w:type="pct"/>
            <w:tcBorders>
              <w:top w:val="nil"/>
              <w:left w:val="nil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48945C86" w14:textId="0A9BEA9C" w:rsidR="00F410CF" w:rsidRPr="00B911C2" w:rsidRDefault="00F410CF" w:rsidP="00F410CF">
            <w:pPr>
              <w:pStyle w:val="TableHeaderText"/>
              <w:rPr>
                <w:szCs w:val="18"/>
              </w:rPr>
            </w:pPr>
            <w:r w:rsidRPr="00B911C2">
              <w:rPr>
                <w:szCs w:val="18"/>
              </w:rPr>
              <w:t>Process</w:t>
            </w:r>
            <w:r w:rsidR="0086785A">
              <w:rPr>
                <w:szCs w:val="18"/>
              </w:rPr>
              <w:t xml:space="preserve"> Stage </w:t>
            </w:r>
          </w:p>
        </w:tc>
        <w:tc>
          <w:tcPr>
            <w:tcW w:w="1272" w:type="pct"/>
            <w:tcBorders>
              <w:top w:val="nil"/>
              <w:left w:val="single" w:sz="2" w:space="0" w:color="FFFFFF"/>
              <w:bottom w:val="nil"/>
              <w:right w:val="nil"/>
              <w:tl2br w:val="nil"/>
              <w:tr2bl w:val="nil"/>
            </w:tcBorders>
            <w:shd w:val="clear" w:color="auto" w:fill="1E4164"/>
          </w:tcPr>
          <w:p w14:paraId="48945C87" w14:textId="6F5B4712" w:rsidR="00F410CF" w:rsidRPr="00B911C2" w:rsidRDefault="0086785A" w:rsidP="00F410CF">
            <w:pPr>
              <w:pStyle w:val="TableHeaderText"/>
              <w:rPr>
                <w:szCs w:val="18"/>
              </w:rPr>
            </w:pPr>
            <w:r>
              <w:rPr>
                <w:szCs w:val="18"/>
              </w:rPr>
              <w:t xml:space="preserve">INDICATIVE </w:t>
            </w:r>
            <w:r w:rsidR="00F410CF" w:rsidRPr="00B911C2">
              <w:rPr>
                <w:szCs w:val="18"/>
              </w:rPr>
              <w:t>Date</w:t>
            </w:r>
          </w:p>
        </w:tc>
      </w:tr>
      <w:tr w:rsidR="00F410CF" w:rsidRPr="000F09A7" w14:paraId="48945C8B" w14:textId="77777777" w:rsidTr="00560900">
        <w:trPr>
          <w:trHeight w:val="520"/>
        </w:trPr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48945C89" w14:textId="62192118" w:rsidR="00F410CF" w:rsidRPr="00E32309" w:rsidRDefault="00F410CF" w:rsidP="00C65573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E32309">
              <w:rPr>
                <w:color w:val="002060"/>
                <w:sz w:val="18"/>
                <w:szCs w:val="18"/>
              </w:rPr>
              <w:t>Closing date for submissions in response to</w:t>
            </w:r>
            <w:r w:rsidR="00277601" w:rsidRPr="00E32309">
              <w:rPr>
                <w:color w:val="002060"/>
                <w:sz w:val="18"/>
                <w:szCs w:val="18"/>
              </w:rPr>
              <w:t xml:space="preserve"> this Notice</w:t>
            </w:r>
            <w:r w:rsidR="00D07327" w:rsidRPr="00E32309">
              <w:rPr>
                <w:color w:val="002060"/>
                <w:sz w:val="18"/>
                <w:szCs w:val="18"/>
              </w:rPr>
              <w:t xml:space="preserve"> and </w:t>
            </w:r>
            <w:r w:rsidR="00C65573">
              <w:rPr>
                <w:color w:val="002060"/>
                <w:sz w:val="18"/>
                <w:szCs w:val="18"/>
              </w:rPr>
              <w:t>Consultation</w:t>
            </w:r>
            <w:r w:rsidR="00CB295C" w:rsidRPr="00E32309">
              <w:rPr>
                <w:color w:val="002060"/>
                <w:sz w:val="18"/>
                <w:szCs w:val="18"/>
              </w:rPr>
              <w:t xml:space="preserve"> Paper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E7F4FC"/>
          </w:tcPr>
          <w:p w14:paraId="48945C8A" w14:textId="47DED6AC" w:rsidR="00F410CF" w:rsidRPr="00E32309" w:rsidRDefault="00D866E7" w:rsidP="005A16B4">
            <w:pPr>
              <w:pStyle w:val="NOCIndentedBodyText"/>
              <w:ind w:left="0"/>
              <w:rPr>
                <w:rStyle w:val="Guidelines"/>
                <w:i w:val="0"/>
                <w:color w:val="002060"/>
                <w:sz w:val="18"/>
                <w:szCs w:val="18"/>
              </w:rPr>
            </w:pPr>
            <w:r>
              <w:rPr>
                <w:rStyle w:val="Guidelines"/>
                <w:i w:val="0"/>
                <w:color w:val="002060"/>
                <w:sz w:val="18"/>
                <w:szCs w:val="18"/>
              </w:rPr>
              <w:t>2</w:t>
            </w:r>
            <w:r w:rsidR="005A16B4">
              <w:rPr>
                <w:rStyle w:val="Guidelines"/>
                <w:i w:val="0"/>
                <w:color w:val="002060"/>
                <w:sz w:val="18"/>
                <w:szCs w:val="18"/>
              </w:rPr>
              <w:t>6</w:t>
            </w:r>
            <w:r>
              <w:rPr>
                <w:rStyle w:val="Guidelines"/>
                <w:i w:val="0"/>
                <w:color w:val="002060"/>
                <w:sz w:val="18"/>
                <w:szCs w:val="18"/>
              </w:rPr>
              <w:t xml:space="preserve"> April 2018</w:t>
            </w:r>
          </w:p>
        </w:tc>
      </w:tr>
      <w:tr w:rsidR="00F410CF" w:rsidRPr="000F09A7" w14:paraId="48945C8E" w14:textId="77777777" w:rsidTr="00711C30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48945C8C" w14:textId="542CCF35" w:rsidR="00F410CF" w:rsidRPr="00E32309" w:rsidRDefault="00F410CF" w:rsidP="00EE5DC9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E32309">
              <w:rPr>
                <w:color w:val="002060"/>
                <w:sz w:val="18"/>
                <w:szCs w:val="18"/>
              </w:rPr>
              <w:t xml:space="preserve">Publication of Draft </w:t>
            </w:r>
            <w:r w:rsidR="00277601" w:rsidRPr="00E32309">
              <w:rPr>
                <w:color w:val="002060"/>
                <w:sz w:val="18"/>
                <w:szCs w:val="18"/>
              </w:rPr>
              <w:t xml:space="preserve">Report 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48945C8D" w14:textId="0BDC452C" w:rsidR="00F410CF" w:rsidRPr="00E32309" w:rsidRDefault="00D866E7" w:rsidP="005A16B4">
            <w:pPr>
              <w:pStyle w:val="NOCIndentedBodyText"/>
              <w:ind w:left="0"/>
              <w:rPr>
                <w:rStyle w:val="Guidelines"/>
                <w:i w:val="0"/>
                <w:color w:val="002060"/>
                <w:sz w:val="18"/>
                <w:szCs w:val="18"/>
              </w:rPr>
            </w:pPr>
            <w:r>
              <w:rPr>
                <w:rStyle w:val="Guidelines"/>
                <w:i w:val="0"/>
                <w:color w:val="002060"/>
                <w:sz w:val="18"/>
                <w:szCs w:val="18"/>
              </w:rPr>
              <w:t>2</w:t>
            </w:r>
            <w:r w:rsidR="005A16B4">
              <w:rPr>
                <w:rStyle w:val="Guidelines"/>
                <w:i w:val="0"/>
                <w:color w:val="002060"/>
                <w:sz w:val="18"/>
                <w:szCs w:val="18"/>
              </w:rPr>
              <w:t>5</w:t>
            </w:r>
            <w:r>
              <w:rPr>
                <w:rStyle w:val="Guidelines"/>
                <w:i w:val="0"/>
                <w:color w:val="002060"/>
                <w:sz w:val="18"/>
                <w:szCs w:val="18"/>
              </w:rPr>
              <w:t xml:space="preserve"> May 2018</w:t>
            </w:r>
          </w:p>
        </w:tc>
      </w:tr>
      <w:tr w:rsidR="00F410CF" w:rsidRPr="000F09A7" w14:paraId="48945C91" w14:textId="77777777" w:rsidTr="00D01324">
        <w:trPr>
          <w:trHeight w:val="418"/>
        </w:trPr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48945C8F" w14:textId="2DB7594B" w:rsidR="00F410CF" w:rsidRPr="00E32309" w:rsidRDefault="00167356" w:rsidP="00EE5DC9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167356">
              <w:rPr>
                <w:color w:val="002060"/>
                <w:sz w:val="18"/>
                <w:szCs w:val="18"/>
              </w:rPr>
              <w:t>Submissions due on Draft Report and Determination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E7F4FC"/>
          </w:tcPr>
          <w:p w14:paraId="48945C90" w14:textId="58516380" w:rsidR="00F410CF" w:rsidRPr="00E32309" w:rsidRDefault="005A16B4" w:rsidP="00CB295C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12</w:t>
            </w:r>
            <w:r w:rsidR="00D866E7">
              <w:rPr>
                <w:color w:val="002060"/>
                <w:sz w:val="18"/>
                <w:szCs w:val="18"/>
              </w:rPr>
              <w:t xml:space="preserve"> June 2018</w:t>
            </w:r>
          </w:p>
        </w:tc>
      </w:tr>
      <w:tr w:rsidR="00F410CF" w:rsidRPr="000F09A7" w14:paraId="48945C94" w14:textId="77777777" w:rsidTr="00711C30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48945C92" w14:textId="276DD19D" w:rsidR="00F410CF" w:rsidRPr="00E32309" w:rsidRDefault="00F410CF" w:rsidP="00EE5DC9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E32309">
              <w:rPr>
                <w:color w:val="002060"/>
                <w:sz w:val="18"/>
                <w:szCs w:val="18"/>
              </w:rPr>
              <w:t xml:space="preserve">Publication of </w:t>
            </w:r>
            <w:r w:rsidR="002873DD" w:rsidRPr="00E32309">
              <w:rPr>
                <w:color w:val="002060"/>
                <w:sz w:val="18"/>
                <w:szCs w:val="18"/>
              </w:rPr>
              <w:t xml:space="preserve">Final </w:t>
            </w:r>
            <w:r w:rsidR="00277601" w:rsidRPr="00E32309">
              <w:rPr>
                <w:color w:val="002060"/>
                <w:sz w:val="18"/>
                <w:szCs w:val="18"/>
              </w:rPr>
              <w:t xml:space="preserve">Report </w:t>
            </w:r>
            <w:r w:rsidR="0086785A" w:rsidRPr="00E32309">
              <w:rPr>
                <w:color w:val="002060"/>
                <w:sz w:val="18"/>
                <w:szCs w:val="18"/>
              </w:rPr>
              <w:t>and Determination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48945C93" w14:textId="0897E151" w:rsidR="00F410CF" w:rsidRPr="00E32309" w:rsidRDefault="00C65573" w:rsidP="005A16B4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By </w:t>
            </w:r>
            <w:r w:rsidR="005A16B4">
              <w:rPr>
                <w:color w:val="002060"/>
                <w:sz w:val="18"/>
                <w:szCs w:val="18"/>
              </w:rPr>
              <w:t>23</w:t>
            </w:r>
            <w:r w:rsidR="00D866E7">
              <w:rPr>
                <w:color w:val="002060"/>
                <w:sz w:val="18"/>
                <w:szCs w:val="18"/>
              </w:rPr>
              <w:t xml:space="preserve"> July 2018</w:t>
            </w:r>
          </w:p>
        </w:tc>
      </w:tr>
    </w:tbl>
    <w:p w14:paraId="48945C95" w14:textId="13666959" w:rsidR="00F410CF" w:rsidRPr="00491E51" w:rsidRDefault="00F410CF" w:rsidP="00EE5DC9">
      <w:pPr>
        <w:keepNext/>
        <w:spacing w:before="240"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Invitation to </w:t>
      </w:r>
      <w:r w:rsidR="00955704">
        <w:rPr>
          <w:b/>
          <w:color w:val="244061"/>
        </w:rPr>
        <w:t>M</w:t>
      </w:r>
      <w:r w:rsidR="00955704" w:rsidRPr="00491E51">
        <w:rPr>
          <w:b/>
          <w:color w:val="244061"/>
        </w:rPr>
        <w:t xml:space="preserve">ake </w:t>
      </w:r>
      <w:r w:rsidR="00491E51" w:rsidRPr="00491E51">
        <w:rPr>
          <w:b/>
          <w:color w:val="244061"/>
        </w:rPr>
        <w:t>Submissions</w:t>
      </w:r>
    </w:p>
    <w:p w14:paraId="48945C96" w14:textId="25864C06" w:rsidR="00F410CF" w:rsidRPr="00491E51" w:rsidRDefault="00DF691A" w:rsidP="00491E51">
      <w:pPr>
        <w:spacing w:line="240" w:lineRule="auto"/>
        <w:jc w:val="both"/>
        <w:rPr>
          <w:color w:val="244061"/>
        </w:rPr>
      </w:pPr>
      <w:r w:rsidRPr="00491E51">
        <w:rPr>
          <w:color w:val="244061"/>
        </w:rPr>
        <w:t>AEMO</w:t>
      </w:r>
      <w:r w:rsidR="00F410CF" w:rsidRPr="00491E51">
        <w:rPr>
          <w:color w:val="244061"/>
        </w:rPr>
        <w:t xml:space="preserve"> </w:t>
      </w:r>
      <w:r w:rsidR="00D866E7">
        <w:rPr>
          <w:color w:val="244061"/>
        </w:rPr>
        <w:t xml:space="preserve">and the IEC </w:t>
      </w:r>
      <w:r w:rsidR="00F410CF" w:rsidRPr="00491E51">
        <w:rPr>
          <w:color w:val="244061"/>
        </w:rPr>
        <w:t>invites written submissions on</w:t>
      </w:r>
      <w:r w:rsidR="00800F34">
        <w:rPr>
          <w:color w:val="244061"/>
        </w:rPr>
        <w:t xml:space="preserve"> </w:t>
      </w:r>
      <w:r w:rsidR="00EE5DC9">
        <w:rPr>
          <w:color w:val="244061"/>
        </w:rPr>
        <w:t>the matter</w:t>
      </w:r>
      <w:r w:rsidR="0006311D">
        <w:rPr>
          <w:color w:val="244061"/>
        </w:rPr>
        <w:t>s</w:t>
      </w:r>
      <w:r w:rsidR="00EE5DC9">
        <w:rPr>
          <w:color w:val="244061"/>
        </w:rPr>
        <w:t xml:space="preserve"> under consultation</w:t>
      </w:r>
      <w:r w:rsidR="00711C30">
        <w:rPr>
          <w:color w:val="244061"/>
        </w:rPr>
        <w:t xml:space="preserve">, including any alternative or additional </w:t>
      </w:r>
      <w:r w:rsidR="00596D40">
        <w:rPr>
          <w:color w:val="244061"/>
        </w:rPr>
        <w:t>proposals</w:t>
      </w:r>
      <w:r w:rsidR="00711C30">
        <w:rPr>
          <w:color w:val="244061"/>
        </w:rPr>
        <w:t xml:space="preserve"> that Consulted Persons consider may better meet the </w:t>
      </w:r>
      <w:r w:rsidR="00EE5DC9">
        <w:rPr>
          <w:color w:val="244061"/>
        </w:rPr>
        <w:t>objectives of this consultation and the national electricity objective.</w:t>
      </w:r>
      <w:r w:rsidR="00F410CF" w:rsidRPr="00491E51">
        <w:rPr>
          <w:color w:val="244061"/>
        </w:rPr>
        <w:t xml:space="preserve">  </w:t>
      </w:r>
    </w:p>
    <w:p w14:paraId="48945C9A" w14:textId="00267E64" w:rsidR="00F410CF" w:rsidRPr="00491E51" w:rsidRDefault="00F410CF" w:rsidP="00491E51">
      <w:pPr>
        <w:spacing w:line="240" w:lineRule="auto"/>
        <w:jc w:val="both"/>
        <w:rPr>
          <w:color w:val="244061"/>
        </w:rPr>
      </w:pPr>
      <w:r w:rsidRPr="00491E51">
        <w:rPr>
          <w:color w:val="244061"/>
        </w:rPr>
        <w:t xml:space="preserve">Please identify any information in your submission that you consider </w:t>
      </w:r>
      <w:r w:rsidR="00492A12">
        <w:rPr>
          <w:color w:val="244061"/>
        </w:rPr>
        <w:t xml:space="preserve">is </w:t>
      </w:r>
      <w:r w:rsidRPr="00491E51">
        <w:rPr>
          <w:color w:val="244061"/>
        </w:rPr>
        <w:t>to be confidential</w:t>
      </w:r>
      <w:r w:rsidR="00955704">
        <w:rPr>
          <w:color w:val="244061"/>
        </w:rPr>
        <w:t>,</w:t>
      </w:r>
      <w:r w:rsidRPr="00491E51">
        <w:rPr>
          <w:color w:val="244061"/>
        </w:rPr>
        <w:t xml:space="preserve"> and provide the reasons why you wish that information to be treated as confidential. </w:t>
      </w:r>
      <w:r w:rsidR="00DF691A" w:rsidRPr="00491E51">
        <w:rPr>
          <w:color w:val="244061"/>
        </w:rPr>
        <w:t>AEMO</w:t>
      </w:r>
      <w:r w:rsidRPr="00491E51">
        <w:rPr>
          <w:color w:val="244061"/>
        </w:rPr>
        <w:t xml:space="preserve"> reserves the right to publish material that it does not consider to be confidential</w:t>
      </w:r>
      <w:r w:rsidR="00596D40">
        <w:rPr>
          <w:color w:val="244061"/>
        </w:rPr>
        <w:t>, but will consult with you before doing so</w:t>
      </w:r>
      <w:r w:rsidRPr="00491E51">
        <w:rPr>
          <w:color w:val="244061"/>
        </w:rPr>
        <w:t xml:space="preserve">. </w:t>
      </w:r>
    </w:p>
    <w:p w14:paraId="0071BC49" w14:textId="77777777" w:rsidR="00A408AE" w:rsidRPr="00491E51" w:rsidRDefault="00A408AE" w:rsidP="00A408AE">
      <w:pPr>
        <w:keepNext/>
        <w:spacing w:before="240" w:line="240" w:lineRule="auto"/>
        <w:rPr>
          <w:b/>
          <w:color w:val="244061"/>
        </w:rPr>
      </w:pPr>
      <w:bookmarkStart w:id="1" w:name="_Ref30996122"/>
      <w:r w:rsidRPr="00491E51">
        <w:rPr>
          <w:b/>
          <w:color w:val="244061"/>
        </w:rPr>
        <w:lastRenderedPageBreak/>
        <w:t>Meetings</w:t>
      </w:r>
      <w:bookmarkEnd w:id="1"/>
    </w:p>
    <w:p w14:paraId="2650FAF0" w14:textId="77777777" w:rsidR="00A408AE" w:rsidRPr="00491E51" w:rsidRDefault="00A408AE" w:rsidP="00A408AE">
      <w:pPr>
        <w:spacing w:line="240" w:lineRule="auto"/>
        <w:jc w:val="both"/>
        <w:rPr>
          <w:color w:val="244061"/>
        </w:rPr>
      </w:pPr>
      <w:r w:rsidRPr="00491E51">
        <w:rPr>
          <w:color w:val="244061"/>
        </w:rPr>
        <w:t>In your submission, you may request a meeting</w:t>
      </w:r>
      <w:r>
        <w:rPr>
          <w:color w:val="244061"/>
        </w:rPr>
        <w:t xml:space="preserve"> with AEMO to discuss the matters under consultation. If you request a meeting, you must</w:t>
      </w:r>
      <w:r w:rsidRPr="00491E51">
        <w:rPr>
          <w:color w:val="244061"/>
        </w:rPr>
        <w:t xml:space="preserve"> s</w:t>
      </w:r>
      <w:r>
        <w:rPr>
          <w:color w:val="244061"/>
        </w:rPr>
        <w:t xml:space="preserve">tate </w:t>
      </w:r>
      <w:r w:rsidRPr="00491E51">
        <w:rPr>
          <w:color w:val="244061"/>
        </w:rPr>
        <w:t xml:space="preserve">why you consider </w:t>
      </w:r>
      <w:r>
        <w:rPr>
          <w:color w:val="244061"/>
        </w:rPr>
        <w:t xml:space="preserve">it </w:t>
      </w:r>
      <w:r w:rsidRPr="00491E51">
        <w:rPr>
          <w:color w:val="244061"/>
        </w:rPr>
        <w:t>necessary or desirable.</w:t>
      </w:r>
    </w:p>
    <w:p w14:paraId="0BB7886F" w14:textId="33321669" w:rsidR="00A408AE" w:rsidRPr="00491E51" w:rsidRDefault="00A408AE" w:rsidP="00A408AE">
      <w:pPr>
        <w:spacing w:line="240" w:lineRule="auto"/>
        <w:jc w:val="both"/>
        <w:rPr>
          <w:color w:val="244061"/>
        </w:rPr>
      </w:pPr>
      <w:r>
        <w:rPr>
          <w:color w:val="244061"/>
        </w:rPr>
        <w:t xml:space="preserve">If appropriate, meetings may be held jointly with other Consulted Persons. </w:t>
      </w:r>
      <w:r w:rsidRPr="00491E51">
        <w:rPr>
          <w:color w:val="244061"/>
        </w:rPr>
        <w:t>Please note that</w:t>
      </w:r>
      <w:r>
        <w:rPr>
          <w:color w:val="244061"/>
        </w:rPr>
        <w:t>, subject to confidentiality restrictions,</w:t>
      </w:r>
      <w:r w:rsidRPr="00491E51">
        <w:rPr>
          <w:color w:val="244061"/>
        </w:rPr>
        <w:t xml:space="preserve"> details of matters discussed at a meeting may be made available to other Consulted Persons.</w:t>
      </w:r>
    </w:p>
    <w:p w14:paraId="48945C9C" w14:textId="77777777" w:rsidR="00F410CF" w:rsidRPr="00491E51" w:rsidRDefault="00F410CF" w:rsidP="00A408AE">
      <w:pPr>
        <w:keepNext/>
        <w:spacing w:before="240"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Closing </w:t>
      </w:r>
      <w:r w:rsidR="00491E51" w:rsidRPr="00491E51">
        <w:rPr>
          <w:b/>
          <w:color w:val="244061"/>
        </w:rPr>
        <w:t xml:space="preserve">Date </w:t>
      </w:r>
      <w:r w:rsidRPr="00491E51">
        <w:rPr>
          <w:b/>
          <w:color w:val="244061"/>
        </w:rPr>
        <w:t xml:space="preserve">for </w:t>
      </w:r>
      <w:r w:rsidR="00491E51" w:rsidRPr="00491E51">
        <w:rPr>
          <w:b/>
          <w:color w:val="244061"/>
        </w:rPr>
        <w:t>Submissions</w:t>
      </w:r>
    </w:p>
    <w:p w14:paraId="48945C9D" w14:textId="769F0660" w:rsidR="00F410CF" w:rsidRPr="00EE5DC9" w:rsidRDefault="00F410CF" w:rsidP="00491E51">
      <w:pPr>
        <w:spacing w:line="240" w:lineRule="auto"/>
        <w:jc w:val="both"/>
        <w:rPr>
          <w:color w:val="244061"/>
        </w:rPr>
      </w:pPr>
      <w:r w:rsidRPr="00491E51">
        <w:rPr>
          <w:color w:val="244061"/>
        </w:rPr>
        <w:t xml:space="preserve">Submissions in response to this Notice of First Stage of Rules Consultation </w:t>
      </w:r>
      <w:r w:rsidR="0006311D">
        <w:rPr>
          <w:color w:val="244061"/>
        </w:rPr>
        <w:t>must</w:t>
      </w:r>
      <w:r w:rsidR="003B336A">
        <w:rPr>
          <w:color w:val="244061"/>
        </w:rPr>
        <w:t xml:space="preserve"> </w:t>
      </w:r>
      <w:r w:rsidRPr="00491E51">
        <w:rPr>
          <w:color w:val="244061"/>
        </w:rPr>
        <w:t xml:space="preserve">reach </w:t>
      </w:r>
      <w:r w:rsidR="00DF691A" w:rsidRPr="00491E51">
        <w:rPr>
          <w:color w:val="244061"/>
        </w:rPr>
        <w:t>AEMO</w:t>
      </w:r>
      <w:r w:rsidRPr="00491E51">
        <w:rPr>
          <w:color w:val="244061"/>
        </w:rPr>
        <w:t xml:space="preserve"> </w:t>
      </w:r>
      <w:r w:rsidRPr="00F66FEE">
        <w:rPr>
          <w:b/>
          <w:color w:val="244061"/>
        </w:rPr>
        <w:t>by 5</w:t>
      </w:r>
      <w:r w:rsidR="00560900" w:rsidRPr="00F66FEE">
        <w:rPr>
          <w:b/>
          <w:color w:val="244061"/>
        </w:rPr>
        <w:t>.</w:t>
      </w:r>
      <w:r w:rsidRPr="00F66FEE">
        <w:rPr>
          <w:b/>
          <w:color w:val="244061"/>
        </w:rPr>
        <w:t xml:space="preserve">00pm </w:t>
      </w:r>
      <w:r w:rsidR="0034407B">
        <w:rPr>
          <w:b/>
          <w:color w:val="244061"/>
        </w:rPr>
        <w:t xml:space="preserve">AEST </w:t>
      </w:r>
      <w:r w:rsidRPr="00F66FEE">
        <w:rPr>
          <w:b/>
          <w:color w:val="244061"/>
        </w:rPr>
        <w:t xml:space="preserve">on </w:t>
      </w:r>
      <w:r w:rsidR="00D866E7">
        <w:rPr>
          <w:b/>
          <w:color w:val="244061"/>
        </w:rPr>
        <w:t>2</w:t>
      </w:r>
      <w:r w:rsidR="005A16B4">
        <w:rPr>
          <w:b/>
          <w:color w:val="244061"/>
        </w:rPr>
        <w:t>6</w:t>
      </w:r>
      <w:r w:rsidR="00D866E7">
        <w:rPr>
          <w:b/>
          <w:color w:val="244061"/>
        </w:rPr>
        <w:t xml:space="preserve"> April 2018</w:t>
      </w:r>
      <w:r w:rsidR="00EE5DC9" w:rsidRPr="00F66FEE">
        <w:rPr>
          <w:rStyle w:val="Guidelines"/>
          <w:b/>
          <w:i w:val="0"/>
          <w:color w:val="244061"/>
        </w:rPr>
        <w:t>.</w:t>
      </w:r>
    </w:p>
    <w:p w14:paraId="48945C9E" w14:textId="459246C4" w:rsidR="00F410CF" w:rsidRPr="00491E51" w:rsidRDefault="00DF691A" w:rsidP="00491E51">
      <w:pPr>
        <w:spacing w:line="240" w:lineRule="auto"/>
        <w:jc w:val="both"/>
        <w:rPr>
          <w:color w:val="244061"/>
        </w:rPr>
      </w:pPr>
      <w:r w:rsidRPr="00491E51">
        <w:rPr>
          <w:color w:val="244061"/>
        </w:rPr>
        <w:t>AEMO</w:t>
      </w:r>
      <w:r w:rsidR="00F410CF" w:rsidRPr="00491E51">
        <w:rPr>
          <w:color w:val="244061"/>
        </w:rPr>
        <w:t xml:space="preserve"> </w:t>
      </w:r>
      <w:r w:rsidR="00596D40">
        <w:rPr>
          <w:color w:val="244061"/>
        </w:rPr>
        <w:t>may</w:t>
      </w:r>
      <w:r w:rsidR="00F410CF" w:rsidRPr="00491E51">
        <w:rPr>
          <w:color w:val="244061"/>
        </w:rPr>
        <w:t xml:space="preserve"> consider late submissions</w:t>
      </w:r>
      <w:r w:rsidR="00596D40">
        <w:rPr>
          <w:color w:val="244061"/>
        </w:rPr>
        <w:t>, but is not obliged to do so</w:t>
      </w:r>
      <w:r w:rsidR="00F410CF" w:rsidRPr="00491E51">
        <w:rPr>
          <w:color w:val="244061"/>
        </w:rPr>
        <w:t xml:space="preserve">. </w:t>
      </w:r>
      <w:r w:rsidR="00560900">
        <w:rPr>
          <w:color w:val="244061"/>
        </w:rPr>
        <w:t>L</w:t>
      </w:r>
      <w:r w:rsidR="00F410CF" w:rsidRPr="00491E51">
        <w:rPr>
          <w:color w:val="244061"/>
        </w:rPr>
        <w:t>ate submission</w:t>
      </w:r>
      <w:r w:rsidR="00560900">
        <w:rPr>
          <w:color w:val="244061"/>
        </w:rPr>
        <w:t>s</w:t>
      </w:r>
      <w:r w:rsidR="00F410CF" w:rsidRPr="00491E51">
        <w:rPr>
          <w:color w:val="244061"/>
        </w:rPr>
        <w:t xml:space="preserve"> should explain:</w:t>
      </w:r>
    </w:p>
    <w:p w14:paraId="48945C9F" w14:textId="3D54BB08" w:rsidR="00F410CF" w:rsidRPr="00491E51" w:rsidRDefault="00560900" w:rsidP="00491E51">
      <w:pPr>
        <w:pStyle w:val="AEMONumberedlist"/>
        <w:spacing w:line="240" w:lineRule="auto"/>
        <w:jc w:val="both"/>
        <w:rPr>
          <w:color w:val="244061"/>
        </w:rPr>
      </w:pPr>
      <w:r>
        <w:rPr>
          <w:color w:val="244061"/>
        </w:rPr>
        <w:t>T</w:t>
      </w:r>
      <w:r w:rsidRPr="00491E51">
        <w:rPr>
          <w:color w:val="244061"/>
        </w:rPr>
        <w:t xml:space="preserve">he </w:t>
      </w:r>
      <w:r w:rsidR="00F410CF" w:rsidRPr="00491E51">
        <w:rPr>
          <w:color w:val="244061"/>
        </w:rPr>
        <w:t>reason for lateness</w:t>
      </w:r>
      <w:r>
        <w:rPr>
          <w:color w:val="244061"/>
        </w:rPr>
        <w:t>.</w:t>
      </w:r>
    </w:p>
    <w:p w14:paraId="48945CA0" w14:textId="76980914" w:rsidR="00F410CF" w:rsidRPr="00491E51" w:rsidRDefault="00560900" w:rsidP="00491E51">
      <w:pPr>
        <w:pStyle w:val="AEMONumberedlist"/>
        <w:spacing w:line="240" w:lineRule="auto"/>
        <w:jc w:val="both"/>
        <w:rPr>
          <w:color w:val="244061"/>
        </w:rPr>
      </w:pPr>
      <w:r>
        <w:rPr>
          <w:color w:val="244061"/>
        </w:rPr>
        <w:t>T</w:t>
      </w:r>
      <w:r w:rsidRPr="00491E51">
        <w:rPr>
          <w:color w:val="244061"/>
        </w:rPr>
        <w:t xml:space="preserve">he </w:t>
      </w:r>
      <w:r w:rsidR="00F410CF" w:rsidRPr="00491E51">
        <w:rPr>
          <w:color w:val="244061"/>
        </w:rPr>
        <w:t xml:space="preserve">detriment to you if </w:t>
      </w:r>
      <w:r w:rsidR="00DF691A" w:rsidRPr="00491E51">
        <w:rPr>
          <w:color w:val="244061"/>
        </w:rPr>
        <w:t>AEMO</w:t>
      </w:r>
      <w:r w:rsidR="00F410CF" w:rsidRPr="00491E51">
        <w:rPr>
          <w:color w:val="244061"/>
        </w:rPr>
        <w:t xml:space="preserve"> fails to consider your submission.</w:t>
      </w:r>
    </w:p>
    <w:p w14:paraId="48945CA5" w14:textId="179A29FB" w:rsidR="00F410CF" w:rsidRPr="00491E51" w:rsidRDefault="00F410CF" w:rsidP="00491E51">
      <w:pPr>
        <w:spacing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Contact </w:t>
      </w:r>
      <w:r w:rsidR="00491E51" w:rsidRPr="00491E51">
        <w:rPr>
          <w:b/>
          <w:color w:val="244061"/>
        </w:rPr>
        <w:t>Details</w:t>
      </w:r>
      <w:r w:rsidR="00436FA3">
        <w:rPr>
          <w:b/>
          <w:color w:val="244061"/>
        </w:rPr>
        <w:t xml:space="preserve"> and Publication</w:t>
      </w:r>
    </w:p>
    <w:p w14:paraId="43A62B27" w14:textId="5FC9E4EC" w:rsidR="00436FA3" w:rsidRDefault="00F410CF" w:rsidP="00491E51">
      <w:pPr>
        <w:spacing w:line="240" w:lineRule="auto"/>
        <w:jc w:val="both"/>
        <w:rPr>
          <w:rStyle w:val="Guidelines"/>
          <w:i w:val="0"/>
          <w:color w:val="244061"/>
        </w:rPr>
      </w:pPr>
      <w:r w:rsidRPr="00491E51">
        <w:rPr>
          <w:color w:val="244061"/>
        </w:rPr>
        <w:t xml:space="preserve">Please send all submissions </w:t>
      </w:r>
      <w:r w:rsidR="00436FA3">
        <w:rPr>
          <w:color w:val="244061"/>
        </w:rPr>
        <w:t xml:space="preserve">by email </w:t>
      </w:r>
      <w:r w:rsidRPr="00491E51">
        <w:rPr>
          <w:color w:val="244061"/>
        </w:rPr>
        <w:t xml:space="preserve">to </w:t>
      </w:r>
      <w:r w:rsidR="00CD4498">
        <w:rPr>
          <w:color w:val="244061"/>
        </w:rPr>
        <w:t>NEM.Retailprocedureconsultations@aemo.com.au.</w:t>
      </w:r>
      <w:r w:rsidR="00250FF5">
        <w:rPr>
          <w:rStyle w:val="Guidelines"/>
          <w:i w:val="0"/>
          <w:color w:val="244061"/>
        </w:rPr>
        <w:t xml:space="preserve"> All submissions must be forwarded in electronic format (both pdf and Word).</w:t>
      </w:r>
      <w:r w:rsidR="00436FA3" w:rsidRPr="00560900">
        <w:rPr>
          <w:rStyle w:val="Guidelines"/>
          <w:i w:val="0"/>
          <w:color w:val="244061"/>
        </w:rPr>
        <w:t xml:space="preserve"> </w:t>
      </w:r>
      <w:r w:rsidR="00560900" w:rsidRPr="00560900">
        <w:rPr>
          <w:rStyle w:val="Guidelines"/>
          <w:i w:val="0"/>
          <w:color w:val="244061"/>
        </w:rPr>
        <w:t xml:space="preserve">Please send </w:t>
      </w:r>
      <w:r w:rsidR="00560900" w:rsidRPr="00CB295C">
        <w:rPr>
          <w:rStyle w:val="Guidelines"/>
          <w:i w:val="0"/>
          <w:color w:val="244061"/>
        </w:rPr>
        <w:t>a</w:t>
      </w:r>
      <w:r w:rsidR="00436FA3" w:rsidRPr="00CB295C">
        <w:rPr>
          <w:rStyle w:val="Guidelines"/>
          <w:i w:val="0"/>
          <w:color w:val="244061"/>
        </w:rPr>
        <w:t>ny queries about this consultation to the same address</w:t>
      </w:r>
      <w:r w:rsidR="00436FA3">
        <w:rPr>
          <w:rStyle w:val="Guidelines"/>
          <w:i w:val="0"/>
          <w:color w:val="244061"/>
        </w:rPr>
        <w:t>.</w:t>
      </w:r>
      <w:r w:rsidR="00250FF5">
        <w:rPr>
          <w:rStyle w:val="Guidelines"/>
          <w:i w:val="0"/>
          <w:color w:val="244061"/>
        </w:rPr>
        <w:t xml:space="preserve"> </w:t>
      </w:r>
    </w:p>
    <w:p w14:paraId="48945CA7" w14:textId="561F6E2E" w:rsidR="00F410CF" w:rsidRPr="00491E51" w:rsidRDefault="00436FA3" w:rsidP="00491E51">
      <w:pPr>
        <w:spacing w:line="240" w:lineRule="auto"/>
        <w:jc w:val="both"/>
        <w:rPr>
          <w:color w:val="244061"/>
        </w:rPr>
      </w:pPr>
      <w:r>
        <w:rPr>
          <w:rStyle w:val="Guidelines"/>
          <w:i w:val="0"/>
          <w:color w:val="244061"/>
        </w:rPr>
        <w:t>All s</w:t>
      </w:r>
      <w:r w:rsidR="00250FF5">
        <w:rPr>
          <w:rStyle w:val="Guidelines"/>
          <w:i w:val="0"/>
          <w:color w:val="244061"/>
        </w:rPr>
        <w:t>ubmissions wi</w:t>
      </w:r>
      <w:r>
        <w:rPr>
          <w:rStyle w:val="Guidelines"/>
          <w:i w:val="0"/>
          <w:color w:val="244061"/>
        </w:rPr>
        <w:t>ll be published on AEMO’s web</w:t>
      </w:r>
      <w:r w:rsidR="00250FF5">
        <w:rPr>
          <w:rStyle w:val="Guidelines"/>
          <w:i w:val="0"/>
          <w:color w:val="244061"/>
        </w:rPr>
        <w:t>site</w:t>
      </w:r>
      <w:r>
        <w:rPr>
          <w:rStyle w:val="Guidelines"/>
          <w:i w:val="0"/>
          <w:color w:val="244061"/>
        </w:rPr>
        <w:t xml:space="preserve">, other than content that </w:t>
      </w:r>
      <w:r w:rsidR="00250FF5">
        <w:rPr>
          <w:rStyle w:val="Guidelines"/>
          <w:i w:val="0"/>
          <w:color w:val="244061"/>
        </w:rPr>
        <w:t xml:space="preserve">AEMO deems </w:t>
      </w:r>
      <w:r>
        <w:rPr>
          <w:rStyle w:val="Guidelines"/>
          <w:i w:val="0"/>
          <w:color w:val="244061"/>
        </w:rPr>
        <w:t xml:space="preserve">to be </w:t>
      </w:r>
      <w:r w:rsidR="00250FF5">
        <w:rPr>
          <w:rStyle w:val="Guidelines"/>
          <w:i w:val="0"/>
          <w:color w:val="244061"/>
        </w:rPr>
        <w:t xml:space="preserve">confidential. </w:t>
      </w:r>
    </w:p>
    <w:sectPr w:rsidR="00F410CF" w:rsidRPr="00491E51" w:rsidSect="00E2370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1418" w:bottom="567" w:left="1418" w:header="964" w:footer="10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A384" w14:textId="77777777" w:rsidR="0003332B" w:rsidRDefault="0003332B" w:rsidP="001E3981">
      <w:r>
        <w:separator/>
      </w:r>
    </w:p>
  </w:endnote>
  <w:endnote w:type="continuationSeparator" w:id="0">
    <w:p w14:paraId="2367B99D" w14:textId="77777777" w:rsidR="0003332B" w:rsidRDefault="0003332B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urich Cn BT"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D982" w14:textId="77777777" w:rsidR="00E2370F" w:rsidRDefault="00E2370F" w:rsidP="00F410CF">
    <w:pPr>
      <w:pStyle w:val="Footer"/>
      <w:rPr>
        <w:color w:val="002060"/>
        <w:sz w:val="16"/>
      </w:rPr>
    </w:pPr>
  </w:p>
  <w:p w14:paraId="48945CB6" w14:textId="35A41DE6" w:rsidR="00955704" w:rsidRPr="00F410CF" w:rsidRDefault="00955704" w:rsidP="00F410CF">
    <w:pPr>
      <w:pStyle w:val="NOCFooter"/>
      <w:rPr>
        <w:color w:val="002060"/>
      </w:rPr>
    </w:pPr>
    <w:r w:rsidRPr="00F410CF">
      <w:rPr>
        <w:rStyle w:val="Guidelines"/>
        <w:color w:val="002060"/>
      </w:rPr>
      <w:tab/>
    </w:r>
    <w:r w:rsidRPr="00F410CF">
      <w:rPr>
        <w:color w:val="002060"/>
      </w:rPr>
      <w:t xml:space="preserve">Page </w:t>
    </w:r>
    <w:r w:rsidRPr="00F410CF">
      <w:rPr>
        <w:rStyle w:val="PageNumber"/>
        <w:color w:val="002060"/>
      </w:rPr>
      <w:fldChar w:fldCharType="begin"/>
    </w:r>
    <w:r w:rsidRPr="00F410CF">
      <w:rPr>
        <w:rStyle w:val="PageNumber"/>
        <w:color w:val="002060"/>
      </w:rPr>
      <w:instrText xml:space="preserve"> PAGE </w:instrText>
    </w:r>
    <w:r w:rsidRPr="00F410CF">
      <w:rPr>
        <w:rStyle w:val="PageNumber"/>
        <w:color w:val="002060"/>
      </w:rPr>
      <w:fldChar w:fldCharType="separate"/>
    </w:r>
    <w:r w:rsidR="00D907AC">
      <w:rPr>
        <w:rStyle w:val="PageNumber"/>
        <w:noProof/>
        <w:color w:val="002060"/>
      </w:rPr>
      <w:t>4</w:t>
    </w:r>
    <w:r w:rsidRPr="00F410CF">
      <w:rPr>
        <w:rStyle w:val="PageNumber"/>
        <w:color w:val="002060"/>
      </w:rPr>
      <w:fldChar w:fldCharType="end"/>
    </w:r>
    <w:r w:rsidRPr="00F410CF">
      <w:rPr>
        <w:rStyle w:val="PageNumber"/>
        <w:color w:val="002060"/>
      </w:rPr>
      <w:t xml:space="preserve"> of </w:t>
    </w:r>
    <w:fldSimple w:instr=" NUMPAGES  \* MERGEFORMAT ">
      <w:r w:rsidR="00D907AC" w:rsidRPr="00D907AC">
        <w:rPr>
          <w:rStyle w:val="PageNumber"/>
          <w:noProof/>
          <w:color w:val="00206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5CB9" w14:textId="4B098AF5" w:rsidR="00955704" w:rsidRPr="00F410CF" w:rsidRDefault="00955704" w:rsidP="00F410CF">
    <w:pPr>
      <w:pStyle w:val="NOCFooter"/>
      <w:rPr>
        <w:color w:val="002060"/>
      </w:rPr>
    </w:pPr>
    <w:r w:rsidRPr="00F410CF">
      <w:rPr>
        <w:rStyle w:val="Guidelines"/>
        <w:color w:val="002060"/>
      </w:rPr>
      <w:tab/>
    </w:r>
    <w:r w:rsidRPr="00F410CF">
      <w:rPr>
        <w:color w:val="002060"/>
      </w:rPr>
      <w:t xml:space="preserve">Page </w:t>
    </w:r>
    <w:r w:rsidRPr="00F410CF">
      <w:rPr>
        <w:rStyle w:val="PageNumber"/>
        <w:color w:val="002060"/>
      </w:rPr>
      <w:fldChar w:fldCharType="begin"/>
    </w:r>
    <w:r w:rsidRPr="00F410CF">
      <w:rPr>
        <w:rStyle w:val="PageNumber"/>
        <w:color w:val="002060"/>
      </w:rPr>
      <w:instrText xml:space="preserve"> PAGE </w:instrText>
    </w:r>
    <w:r w:rsidRPr="00F410CF">
      <w:rPr>
        <w:rStyle w:val="PageNumber"/>
        <w:color w:val="002060"/>
      </w:rPr>
      <w:fldChar w:fldCharType="separate"/>
    </w:r>
    <w:r w:rsidR="00D907AC">
      <w:rPr>
        <w:rStyle w:val="PageNumber"/>
        <w:noProof/>
        <w:color w:val="002060"/>
      </w:rPr>
      <w:t>1</w:t>
    </w:r>
    <w:r w:rsidRPr="00F410CF">
      <w:rPr>
        <w:rStyle w:val="PageNumber"/>
        <w:color w:val="002060"/>
      </w:rPr>
      <w:fldChar w:fldCharType="end"/>
    </w:r>
    <w:r w:rsidRPr="00F410CF">
      <w:rPr>
        <w:rStyle w:val="PageNumber"/>
        <w:color w:val="002060"/>
      </w:rPr>
      <w:t xml:space="preserve"> of </w:t>
    </w:r>
    <w:fldSimple w:instr=" NUMPAGES  \* MERGEFORMAT ">
      <w:r w:rsidR="00D907AC" w:rsidRPr="00D907AC">
        <w:rPr>
          <w:rStyle w:val="PageNumber"/>
          <w:noProof/>
          <w:color w:val="00206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F46F" w14:textId="77777777" w:rsidR="0003332B" w:rsidRDefault="0003332B" w:rsidP="001E3981">
      <w:r>
        <w:separator/>
      </w:r>
    </w:p>
  </w:footnote>
  <w:footnote w:type="continuationSeparator" w:id="0">
    <w:p w14:paraId="7F8B5866" w14:textId="77777777" w:rsidR="0003332B" w:rsidRDefault="0003332B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5CB4" w14:textId="77777777" w:rsidR="00955704" w:rsidRDefault="00955704">
    <w:r>
      <w:rPr>
        <w:noProof/>
      </w:rPr>
      <w:drawing>
        <wp:anchor distT="0" distB="0" distL="114300" distR="114300" simplePos="0" relativeHeight="251656704" behindDoc="1" locked="1" layoutInCell="1" allowOverlap="1" wp14:anchorId="48945CBA" wp14:editId="47200AF7">
          <wp:simplePos x="0" y="0"/>
          <wp:positionH relativeFrom="page">
            <wp:posOffset>5040630</wp:posOffset>
          </wp:positionH>
          <wp:positionV relativeFrom="page">
            <wp:posOffset>565150</wp:posOffset>
          </wp:positionV>
          <wp:extent cx="1987550" cy="660400"/>
          <wp:effectExtent l="19050" t="0" r="0" b="0"/>
          <wp:wrapNone/>
          <wp:docPr id="31" name="Picture 103" descr="letterhea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letterhead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5CB7" w14:textId="77777777" w:rsidR="00955704" w:rsidRPr="00C47AE7" w:rsidRDefault="00955704" w:rsidP="00C47AE7">
    <w:r>
      <w:rPr>
        <w:noProof/>
        <w:sz w:val="4"/>
      </w:rPr>
      <w:drawing>
        <wp:anchor distT="0" distB="0" distL="114300" distR="114300" simplePos="0" relativeHeight="251658752" behindDoc="1" locked="1" layoutInCell="1" allowOverlap="1" wp14:anchorId="48945CBD" wp14:editId="56E2E95E">
          <wp:simplePos x="0" y="0"/>
          <wp:positionH relativeFrom="page">
            <wp:posOffset>5039995</wp:posOffset>
          </wp:positionH>
          <wp:positionV relativeFrom="page">
            <wp:posOffset>565150</wp:posOffset>
          </wp:positionV>
          <wp:extent cx="1987550" cy="660400"/>
          <wp:effectExtent l="19050" t="0" r="0" b="0"/>
          <wp:wrapNone/>
          <wp:docPr id="128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9C27E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CA094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Zurich Cn BT" w:hAnsi="Zurich Cn BT" w:hint="default"/>
        <w:b/>
        <w:i w:val="0"/>
      </w:rPr>
    </w:lvl>
  </w:abstractNum>
  <w:abstractNum w:abstractNumId="2" w15:restartNumberingAfterBreak="0">
    <w:nsid w:val="FFFFFF89"/>
    <w:multiLevelType w:val="singleLevel"/>
    <w:tmpl w:val="62EC9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644E0"/>
    <w:multiLevelType w:val="singleLevel"/>
    <w:tmpl w:val="E6F8567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position w:val="2"/>
        <w:sz w:val="16"/>
      </w:rPr>
    </w:lvl>
  </w:abstractNum>
  <w:abstractNum w:abstractNumId="4" w15:restartNumberingAfterBreak="0">
    <w:nsid w:val="0CB475FB"/>
    <w:multiLevelType w:val="hybridMultilevel"/>
    <w:tmpl w:val="629C7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6565"/>
    <w:multiLevelType w:val="hybridMultilevel"/>
    <w:tmpl w:val="D360C108"/>
    <w:lvl w:ilvl="0" w:tplc="C5A4AC1E">
      <w:start w:val="1"/>
      <w:numFmt w:val="decimal"/>
      <w:pStyle w:val="NOC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420A6"/>
    <w:multiLevelType w:val="hybridMultilevel"/>
    <w:tmpl w:val="8038883A"/>
    <w:lvl w:ilvl="0" w:tplc="C79C6126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0B05"/>
    <w:multiLevelType w:val="multilevel"/>
    <w:tmpl w:val="51A6C34E"/>
    <w:lvl w:ilvl="0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0FBB"/>
    <w:multiLevelType w:val="hybridMultilevel"/>
    <w:tmpl w:val="5770FB20"/>
    <w:lvl w:ilvl="0" w:tplc="0C090011">
      <w:start w:val="1"/>
      <w:numFmt w:val="decimal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8F5B0C"/>
    <w:multiLevelType w:val="hybridMultilevel"/>
    <w:tmpl w:val="6DDC19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E203F"/>
    <w:multiLevelType w:val="hybridMultilevel"/>
    <w:tmpl w:val="FFAABDF8"/>
    <w:lvl w:ilvl="0" w:tplc="650028D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920E9D"/>
    <w:multiLevelType w:val="multilevel"/>
    <w:tmpl w:val="3154DC0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56EEF"/>
    <w:multiLevelType w:val="multilevel"/>
    <w:tmpl w:val="6B16979E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78D"/>
    <w:multiLevelType w:val="hybridMultilevel"/>
    <w:tmpl w:val="4C84D4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948"/>
    <w:multiLevelType w:val="hybridMultilevel"/>
    <w:tmpl w:val="6B16979E"/>
    <w:lvl w:ilvl="0" w:tplc="3C362C9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37CBC"/>
    <w:multiLevelType w:val="hybridMultilevel"/>
    <w:tmpl w:val="EA844BAE"/>
    <w:lvl w:ilvl="0" w:tplc="93EEB7B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90AC2"/>
    <w:multiLevelType w:val="hybridMultilevel"/>
    <w:tmpl w:val="A1EC72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B7EBD22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801FE"/>
    <w:multiLevelType w:val="hybridMultilevel"/>
    <w:tmpl w:val="3BE66DBE"/>
    <w:lvl w:ilvl="0" w:tplc="FB7EBD2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0A51C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B4420E"/>
    <w:multiLevelType w:val="hybridMultilevel"/>
    <w:tmpl w:val="C0E6B544"/>
    <w:lvl w:ilvl="0" w:tplc="0C0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7303708"/>
    <w:multiLevelType w:val="multilevel"/>
    <w:tmpl w:val="C3AA0DC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33C3A"/>
    <w:multiLevelType w:val="hybridMultilevel"/>
    <w:tmpl w:val="9154DC8E"/>
    <w:lvl w:ilvl="0" w:tplc="5F6AFE6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8E20E1"/>
    <w:multiLevelType w:val="hybridMultilevel"/>
    <w:tmpl w:val="A02058F8"/>
    <w:lvl w:ilvl="0" w:tplc="4EF21B7C">
      <w:start w:val="1"/>
      <w:numFmt w:val="lowerRoman"/>
      <w:pStyle w:val="NOCIndented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7E14BF"/>
    <w:multiLevelType w:val="multilevel"/>
    <w:tmpl w:val="19DA2858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position w:val="2"/>
        <w:sz w:val="18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82D092E"/>
    <w:multiLevelType w:val="multilevel"/>
    <w:tmpl w:val="F340762E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E710EF"/>
    <w:multiLevelType w:val="hybridMultilevel"/>
    <w:tmpl w:val="A830C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E6997"/>
    <w:multiLevelType w:val="hybridMultilevel"/>
    <w:tmpl w:val="E27AF432"/>
    <w:lvl w:ilvl="0" w:tplc="0C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03870"/>
    <w:multiLevelType w:val="hybridMultilevel"/>
    <w:tmpl w:val="55EE15E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C3151A"/>
    <w:multiLevelType w:val="hybridMultilevel"/>
    <w:tmpl w:val="E9840F0C"/>
    <w:lvl w:ilvl="0" w:tplc="8216EA20">
      <w:start w:val="1"/>
      <w:numFmt w:val="bullet"/>
      <w:pStyle w:val="NOCIndented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5E1293"/>
    <w:multiLevelType w:val="hybridMultilevel"/>
    <w:tmpl w:val="935A7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94514"/>
    <w:multiLevelType w:val="hybridMultilevel"/>
    <w:tmpl w:val="A830C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852A6"/>
    <w:multiLevelType w:val="hybridMultilevel"/>
    <w:tmpl w:val="6F7EB6CA"/>
    <w:lvl w:ilvl="0" w:tplc="CBE0FF8E">
      <w:start w:val="1"/>
      <w:numFmt w:val="decimal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DA7227"/>
    <w:multiLevelType w:val="hybridMultilevel"/>
    <w:tmpl w:val="A830C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4"/>
  </w:num>
  <w:num w:numId="15">
    <w:abstractNumId w:val="18"/>
  </w:num>
  <w:num w:numId="16">
    <w:abstractNumId w:val="14"/>
  </w:num>
  <w:num w:numId="17">
    <w:abstractNumId w:val="15"/>
  </w:num>
  <w:num w:numId="18">
    <w:abstractNumId w:val="12"/>
  </w:num>
  <w:num w:numId="19">
    <w:abstractNumId w:val="6"/>
  </w:num>
  <w:num w:numId="20">
    <w:abstractNumId w:val="20"/>
  </w:num>
  <w:num w:numId="21">
    <w:abstractNumId w:val="7"/>
  </w:num>
  <w:num w:numId="22">
    <w:abstractNumId w:val="11"/>
  </w:num>
  <w:num w:numId="23">
    <w:abstractNumId w:val="24"/>
  </w:num>
  <w:num w:numId="24">
    <w:abstractNumId w:val="23"/>
  </w:num>
  <w:num w:numId="25">
    <w:abstractNumId w:val="5"/>
  </w:num>
  <w:num w:numId="26">
    <w:abstractNumId w:val="28"/>
  </w:num>
  <w:num w:numId="27">
    <w:abstractNumId w:val="22"/>
  </w:num>
  <w:num w:numId="28">
    <w:abstractNumId w:val="29"/>
  </w:num>
  <w:num w:numId="29">
    <w:abstractNumId w:val="13"/>
  </w:num>
  <w:num w:numId="30">
    <w:abstractNumId w:val="19"/>
  </w:num>
  <w:num w:numId="31">
    <w:abstractNumId w:val="16"/>
  </w:num>
  <w:num w:numId="32">
    <w:abstractNumId w:val="17"/>
  </w:num>
  <w:num w:numId="33">
    <w:abstractNumId w:val="27"/>
  </w:num>
  <w:num w:numId="34">
    <w:abstractNumId w:val="21"/>
  </w:num>
  <w:num w:numId="35">
    <w:abstractNumId w:val="32"/>
  </w:num>
  <w:num w:numId="36">
    <w:abstractNumId w:val="10"/>
  </w:num>
  <w:num w:numId="37">
    <w:abstractNumId w:val="30"/>
  </w:num>
  <w:num w:numId="38">
    <w:abstractNumId w:val="25"/>
  </w:num>
  <w:num w:numId="39">
    <w:abstractNumId w:val="31"/>
  </w:num>
  <w:num w:numId="40">
    <w:abstractNumId w:val="8"/>
  </w:num>
  <w:num w:numId="41">
    <w:abstractNumId w:val="26"/>
  </w:num>
  <w:num w:numId="42">
    <w:abstractNumId w:val="4"/>
  </w:num>
  <w:num w:numId="4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ncelForm" w:val="橄ㄴ폐б૳찔㈇"/>
    <w:docVar w:name="PrintLogo" w:val="w:docVa"/>
  </w:docVars>
  <w:rsids>
    <w:rsidRoot w:val="00DF691A"/>
    <w:rsid w:val="00007902"/>
    <w:rsid w:val="00014E1C"/>
    <w:rsid w:val="00017625"/>
    <w:rsid w:val="00026ADE"/>
    <w:rsid w:val="0003332B"/>
    <w:rsid w:val="0006311D"/>
    <w:rsid w:val="000711DD"/>
    <w:rsid w:val="00090AB5"/>
    <w:rsid w:val="000B169A"/>
    <w:rsid w:val="000B6EBE"/>
    <w:rsid w:val="000C7DBD"/>
    <w:rsid w:val="000E739B"/>
    <w:rsid w:val="000F09A7"/>
    <w:rsid w:val="000F3C8D"/>
    <w:rsid w:val="000F4190"/>
    <w:rsid w:val="001119DB"/>
    <w:rsid w:val="0011405A"/>
    <w:rsid w:val="00116F30"/>
    <w:rsid w:val="00123C6C"/>
    <w:rsid w:val="001246BB"/>
    <w:rsid w:val="00133F67"/>
    <w:rsid w:val="00136F5B"/>
    <w:rsid w:val="001441F5"/>
    <w:rsid w:val="00147D73"/>
    <w:rsid w:val="00155375"/>
    <w:rsid w:val="001564BE"/>
    <w:rsid w:val="00163609"/>
    <w:rsid w:val="00167356"/>
    <w:rsid w:val="0017638E"/>
    <w:rsid w:val="00192193"/>
    <w:rsid w:val="001971CC"/>
    <w:rsid w:val="001A15FD"/>
    <w:rsid w:val="001A2171"/>
    <w:rsid w:val="001D5DAE"/>
    <w:rsid w:val="001E3981"/>
    <w:rsid w:val="001F12E3"/>
    <w:rsid w:val="001F1A5F"/>
    <w:rsid w:val="002448DF"/>
    <w:rsid w:val="00250FF5"/>
    <w:rsid w:val="00254170"/>
    <w:rsid w:val="002637BC"/>
    <w:rsid w:val="00263B25"/>
    <w:rsid w:val="00271F9D"/>
    <w:rsid w:val="002759FB"/>
    <w:rsid w:val="00277601"/>
    <w:rsid w:val="002833C2"/>
    <w:rsid w:val="00283919"/>
    <w:rsid w:val="002873DD"/>
    <w:rsid w:val="00287805"/>
    <w:rsid w:val="00293E3A"/>
    <w:rsid w:val="00295696"/>
    <w:rsid w:val="002B0B02"/>
    <w:rsid w:val="002C52F7"/>
    <w:rsid w:val="002C6726"/>
    <w:rsid w:val="002C7619"/>
    <w:rsid w:val="002D12F3"/>
    <w:rsid w:val="002D6C90"/>
    <w:rsid w:val="002D6D2E"/>
    <w:rsid w:val="002E0860"/>
    <w:rsid w:val="002E1511"/>
    <w:rsid w:val="002E39E3"/>
    <w:rsid w:val="002F384A"/>
    <w:rsid w:val="00305239"/>
    <w:rsid w:val="003067DD"/>
    <w:rsid w:val="00307504"/>
    <w:rsid w:val="00307D90"/>
    <w:rsid w:val="003173B8"/>
    <w:rsid w:val="00323D5A"/>
    <w:rsid w:val="0034407B"/>
    <w:rsid w:val="00346940"/>
    <w:rsid w:val="00356195"/>
    <w:rsid w:val="00356644"/>
    <w:rsid w:val="00361FF4"/>
    <w:rsid w:val="0038119C"/>
    <w:rsid w:val="003A1B54"/>
    <w:rsid w:val="003B336A"/>
    <w:rsid w:val="003C35A6"/>
    <w:rsid w:val="003D4351"/>
    <w:rsid w:val="003F14EE"/>
    <w:rsid w:val="003F6D54"/>
    <w:rsid w:val="003F7CE0"/>
    <w:rsid w:val="00411DF8"/>
    <w:rsid w:val="00422A2B"/>
    <w:rsid w:val="00436FA3"/>
    <w:rsid w:val="00437CED"/>
    <w:rsid w:val="004458D1"/>
    <w:rsid w:val="00454EC3"/>
    <w:rsid w:val="00455CD4"/>
    <w:rsid w:val="00470499"/>
    <w:rsid w:val="004725A5"/>
    <w:rsid w:val="0048289A"/>
    <w:rsid w:val="00491E51"/>
    <w:rsid w:val="00492A12"/>
    <w:rsid w:val="004B3396"/>
    <w:rsid w:val="004B3EA2"/>
    <w:rsid w:val="004D26BF"/>
    <w:rsid w:val="004F0FF1"/>
    <w:rsid w:val="004F2DB9"/>
    <w:rsid w:val="005058EC"/>
    <w:rsid w:val="00510DB6"/>
    <w:rsid w:val="00511D95"/>
    <w:rsid w:val="005158B3"/>
    <w:rsid w:val="0053195B"/>
    <w:rsid w:val="00546945"/>
    <w:rsid w:val="00560900"/>
    <w:rsid w:val="00570485"/>
    <w:rsid w:val="005811C0"/>
    <w:rsid w:val="00594FFD"/>
    <w:rsid w:val="00596D40"/>
    <w:rsid w:val="005A16B4"/>
    <w:rsid w:val="005A5A98"/>
    <w:rsid w:val="005B4DA7"/>
    <w:rsid w:val="005C201F"/>
    <w:rsid w:val="005C2B4B"/>
    <w:rsid w:val="005C59A0"/>
    <w:rsid w:val="005D1CC2"/>
    <w:rsid w:val="005E1FB1"/>
    <w:rsid w:val="005F010B"/>
    <w:rsid w:val="005F2B56"/>
    <w:rsid w:val="00617D69"/>
    <w:rsid w:val="00622448"/>
    <w:rsid w:val="00623B6D"/>
    <w:rsid w:val="00632CEA"/>
    <w:rsid w:val="00673927"/>
    <w:rsid w:val="006C7622"/>
    <w:rsid w:val="006D1675"/>
    <w:rsid w:val="006D2D2A"/>
    <w:rsid w:val="006E5404"/>
    <w:rsid w:val="006E79D2"/>
    <w:rsid w:val="006E7E64"/>
    <w:rsid w:val="006F1571"/>
    <w:rsid w:val="006F296D"/>
    <w:rsid w:val="006F4A60"/>
    <w:rsid w:val="006F6443"/>
    <w:rsid w:val="00707A9A"/>
    <w:rsid w:val="00711C30"/>
    <w:rsid w:val="00714F49"/>
    <w:rsid w:val="00716B97"/>
    <w:rsid w:val="00716E23"/>
    <w:rsid w:val="007225AE"/>
    <w:rsid w:val="00735B48"/>
    <w:rsid w:val="00736D66"/>
    <w:rsid w:val="0073776E"/>
    <w:rsid w:val="00746C55"/>
    <w:rsid w:val="007605E3"/>
    <w:rsid w:val="0078658D"/>
    <w:rsid w:val="00796205"/>
    <w:rsid w:val="007A3C1A"/>
    <w:rsid w:val="007A3EF8"/>
    <w:rsid w:val="007B2B0E"/>
    <w:rsid w:val="007B4DD1"/>
    <w:rsid w:val="007B7803"/>
    <w:rsid w:val="007C27E2"/>
    <w:rsid w:val="007F309E"/>
    <w:rsid w:val="00800F34"/>
    <w:rsid w:val="008054C9"/>
    <w:rsid w:val="00821B7A"/>
    <w:rsid w:val="00835D27"/>
    <w:rsid w:val="00835E2A"/>
    <w:rsid w:val="00837280"/>
    <w:rsid w:val="0083799A"/>
    <w:rsid w:val="00852DA0"/>
    <w:rsid w:val="00856E1B"/>
    <w:rsid w:val="0086785A"/>
    <w:rsid w:val="0087598D"/>
    <w:rsid w:val="00893720"/>
    <w:rsid w:val="00895FF1"/>
    <w:rsid w:val="008A6B80"/>
    <w:rsid w:val="008D2EC4"/>
    <w:rsid w:val="008F0BE5"/>
    <w:rsid w:val="008F5498"/>
    <w:rsid w:val="00903866"/>
    <w:rsid w:val="009145DD"/>
    <w:rsid w:val="00914C75"/>
    <w:rsid w:val="00917A11"/>
    <w:rsid w:val="00922741"/>
    <w:rsid w:val="0092332A"/>
    <w:rsid w:val="00924604"/>
    <w:rsid w:val="0092533C"/>
    <w:rsid w:val="00930060"/>
    <w:rsid w:val="00945604"/>
    <w:rsid w:val="00955704"/>
    <w:rsid w:val="00957647"/>
    <w:rsid w:val="00965A58"/>
    <w:rsid w:val="00981757"/>
    <w:rsid w:val="00985F0E"/>
    <w:rsid w:val="0099055E"/>
    <w:rsid w:val="00990EFE"/>
    <w:rsid w:val="009B093E"/>
    <w:rsid w:val="009E5101"/>
    <w:rsid w:val="009F0EA3"/>
    <w:rsid w:val="009F3106"/>
    <w:rsid w:val="00A0241F"/>
    <w:rsid w:val="00A02F84"/>
    <w:rsid w:val="00A04D2B"/>
    <w:rsid w:val="00A225CD"/>
    <w:rsid w:val="00A244B4"/>
    <w:rsid w:val="00A408AE"/>
    <w:rsid w:val="00A4637B"/>
    <w:rsid w:val="00A54EC1"/>
    <w:rsid w:val="00A6213B"/>
    <w:rsid w:val="00A6232B"/>
    <w:rsid w:val="00A66425"/>
    <w:rsid w:val="00A71876"/>
    <w:rsid w:val="00A84435"/>
    <w:rsid w:val="00A95F76"/>
    <w:rsid w:val="00AB338E"/>
    <w:rsid w:val="00AD3E6E"/>
    <w:rsid w:val="00AF5399"/>
    <w:rsid w:val="00AF6567"/>
    <w:rsid w:val="00AF73C4"/>
    <w:rsid w:val="00B030D5"/>
    <w:rsid w:val="00B07917"/>
    <w:rsid w:val="00B13CC6"/>
    <w:rsid w:val="00B23612"/>
    <w:rsid w:val="00B25E99"/>
    <w:rsid w:val="00B32619"/>
    <w:rsid w:val="00B42E67"/>
    <w:rsid w:val="00B6038D"/>
    <w:rsid w:val="00B7677B"/>
    <w:rsid w:val="00B774D2"/>
    <w:rsid w:val="00B81CDB"/>
    <w:rsid w:val="00B83EA5"/>
    <w:rsid w:val="00B87CBD"/>
    <w:rsid w:val="00B911C2"/>
    <w:rsid w:val="00BA34BD"/>
    <w:rsid w:val="00BB31B7"/>
    <w:rsid w:val="00BB48A7"/>
    <w:rsid w:val="00BB5100"/>
    <w:rsid w:val="00BB5C1D"/>
    <w:rsid w:val="00BE72E2"/>
    <w:rsid w:val="00BF6C56"/>
    <w:rsid w:val="00C030E7"/>
    <w:rsid w:val="00C032E8"/>
    <w:rsid w:val="00C067F7"/>
    <w:rsid w:val="00C105D2"/>
    <w:rsid w:val="00C16824"/>
    <w:rsid w:val="00C17006"/>
    <w:rsid w:val="00C2387A"/>
    <w:rsid w:val="00C42AC2"/>
    <w:rsid w:val="00C4538A"/>
    <w:rsid w:val="00C45D40"/>
    <w:rsid w:val="00C47AE7"/>
    <w:rsid w:val="00C50A4E"/>
    <w:rsid w:val="00C5197B"/>
    <w:rsid w:val="00C520DE"/>
    <w:rsid w:val="00C62C4D"/>
    <w:rsid w:val="00C65573"/>
    <w:rsid w:val="00C67D21"/>
    <w:rsid w:val="00C914E7"/>
    <w:rsid w:val="00CB295C"/>
    <w:rsid w:val="00CC4A70"/>
    <w:rsid w:val="00CC7BE9"/>
    <w:rsid w:val="00CD4498"/>
    <w:rsid w:val="00CE0305"/>
    <w:rsid w:val="00CF6A14"/>
    <w:rsid w:val="00D01324"/>
    <w:rsid w:val="00D07327"/>
    <w:rsid w:val="00D3082F"/>
    <w:rsid w:val="00D34523"/>
    <w:rsid w:val="00D42678"/>
    <w:rsid w:val="00D509A3"/>
    <w:rsid w:val="00D513D1"/>
    <w:rsid w:val="00D611DC"/>
    <w:rsid w:val="00D652EF"/>
    <w:rsid w:val="00D775AE"/>
    <w:rsid w:val="00D85C8B"/>
    <w:rsid w:val="00D866E7"/>
    <w:rsid w:val="00D86A14"/>
    <w:rsid w:val="00D907AC"/>
    <w:rsid w:val="00D955B3"/>
    <w:rsid w:val="00DA608E"/>
    <w:rsid w:val="00DC09E2"/>
    <w:rsid w:val="00DC1860"/>
    <w:rsid w:val="00DF26FD"/>
    <w:rsid w:val="00DF691A"/>
    <w:rsid w:val="00E017EB"/>
    <w:rsid w:val="00E03C63"/>
    <w:rsid w:val="00E056D1"/>
    <w:rsid w:val="00E118E1"/>
    <w:rsid w:val="00E2370F"/>
    <w:rsid w:val="00E32309"/>
    <w:rsid w:val="00E348A7"/>
    <w:rsid w:val="00E44A4F"/>
    <w:rsid w:val="00E44E62"/>
    <w:rsid w:val="00E56168"/>
    <w:rsid w:val="00E65C00"/>
    <w:rsid w:val="00E73DD9"/>
    <w:rsid w:val="00E82E12"/>
    <w:rsid w:val="00E86586"/>
    <w:rsid w:val="00EA0EBB"/>
    <w:rsid w:val="00EB6E4C"/>
    <w:rsid w:val="00EB7659"/>
    <w:rsid w:val="00EC3782"/>
    <w:rsid w:val="00EE5DC9"/>
    <w:rsid w:val="00F07AFA"/>
    <w:rsid w:val="00F15BB4"/>
    <w:rsid w:val="00F3589E"/>
    <w:rsid w:val="00F37B48"/>
    <w:rsid w:val="00F410CF"/>
    <w:rsid w:val="00F446B3"/>
    <w:rsid w:val="00F52768"/>
    <w:rsid w:val="00F6539C"/>
    <w:rsid w:val="00F6691A"/>
    <w:rsid w:val="00F66FEE"/>
    <w:rsid w:val="00F70134"/>
    <w:rsid w:val="00F708A2"/>
    <w:rsid w:val="00F82249"/>
    <w:rsid w:val="00F833DA"/>
    <w:rsid w:val="00F90806"/>
    <w:rsid w:val="00FA670E"/>
    <w:rsid w:val="00FB62DC"/>
    <w:rsid w:val="00FC18DC"/>
    <w:rsid w:val="00FC5C87"/>
    <w:rsid w:val="00FD14FB"/>
    <w:rsid w:val="00FD21C7"/>
    <w:rsid w:val="00FE3960"/>
    <w:rsid w:val="00FE6CF5"/>
    <w:rsid w:val="00FF0BB1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48945C5E"/>
  <w15:docId w15:val="{747288CF-494D-47C8-957F-A525E1A2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86586"/>
    <w:pPr>
      <w:tabs>
        <w:tab w:val="left" w:pos="397"/>
        <w:tab w:val="left" w:pos="794"/>
        <w:tab w:val="left" w:pos="1191"/>
      </w:tabs>
      <w:spacing w:after="180" w:line="30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30060"/>
    <w:pPr>
      <w:spacing w:after="40" w:line="360" w:lineRule="exact"/>
      <w:outlineLvl w:val="0"/>
    </w:pPr>
    <w:rPr>
      <w:caps/>
      <w:color w:val="1E4164"/>
      <w:kern w:val="28"/>
      <w:sz w:val="36"/>
    </w:rPr>
  </w:style>
  <w:style w:type="paragraph" w:styleId="Heading2">
    <w:name w:val="heading 2"/>
    <w:basedOn w:val="Normal"/>
    <w:next w:val="Normal"/>
    <w:qFormat/>
    <w:rsid w:val="00455CD4"/>
    <w:pPr>
      <w:spacing w:line="320" w:lineRule="exact"/>
      <w:outlineLvl w:val="1"/>
    </w:pPr>
    <w:rPr>
      <w:caps/>
      <w:color w:val="1E4164"/>
      <w:sz w:val="24"/>
    </w:rPr>
  </w:style>
  <w:style w:type="paragraph" w:styleId="Heading3">
    <w:name w:val="heading 3"/>
    <w:basedOn w:val="Heading2"/>
    <w:next w:val="Normal"/>
    <w:qFormat/>
    <w:rsid w:val="00455CD4"/>
    <w:pPr>
      <w:spacing w:before="100" w:line="300" w:lineRule="exact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903866"/>
    <w:pPr>
      <w:keepNext/>
      <w:spacing w:before="120" w:after="240" w:line="320" w:lineRule="exact"/>
      <w:outlineLvl w:val="3"/>
    </w:pPr>
    <w:rPr>
      <w:bCs/>
      <w:color w:val="1E416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MONumberedlist">
    <w:name w:val="AEMO Numbered list"/>
    <w:basedOn w:val="Normal"/>
    <w:qFormat/>
    <w:rsid w:val="002E1511"/>
    <w:pPr>
      <w:numPr>
        <w:numId w:val="23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">
    <w:name w:val="List Bullet"/>
    <w:aliases w:val="List Bullet - AEMO"/>
    <w:basedOn w:val="Normal"/>
    <w:rsid w:val="002E1511"/>
    <w:pPr>
      <w:numPr>
        <w:numId w:val="24"/>
      </w:numPr>
      <w:tabs>
        <w:tab w:val="clear" w:pos="794"/>
        <w:tab w:val="clear" w:pos="1191"/>
      </w:tabs>
    </w:pPr>
    <w:rPr>
      <w:lang w:eastAsia="en-US"/>
    </w:rPr>
  </w:style>
  <w:style w:type="paragraph" w:customStyle="1" w:styleId="BoldSign-Off">
    <w:name w:val="Bold Sign-Off"/>
    <w:basedOn w:val="Normal"/>
    <w:rsid w:val="002E0860"/>
    <w:pPr>
      <w:spacing w:before="120"/>
    </w:pPr>
    <w:rPr>
      <w:b/>
    </w:rPr>
  </w:style>
  <w:style w:type="paragraph" w:customStyle="1" w:styleId="Linespacer">
    <w:name w:val="Line spacer"/>
    <w:basedOn w:val="Normal"/>
    <w:rsid w:val="002E0860"/>
    <w:pPr>
      <w:spacing w:before="60"/>
    </w:pPr>
  </w:style>
  <w:style w:type="paragraph" w:styleId="Header">
    <w:name w:val="header"/>
    <w:basedOn w:val="Normal"/>
    <w:rsid w:val="003F6D54"/>
    <w:pPr>
      <w:tabs>
        <w:tab w:val="clear" w:pos="397"/>
        <w:tab w:val="clear" w:pos="794"/>
        <w:tab w:val="clear" w:pos="1191"/>
        <w:tab w:val="center" w:pos="4153"/>
        <w:tab w:val="right" w:pos="8306"/>
      </w:tabs>
    </w:pPr>
  </w:style>
  <w:style w:type="paragraph" w:styleId="Footer">
    <w:name w:val="footer"/>
    <w:basedOn w:val="Normal"/>
    <w:rsid w:val="003F6D54"/>
    <w:pPr>
      <w:tabs>
        <w:tab w:val="clear" w:pos="397"/>
        <w:tab w:val="clear" w:pos="794"/>
        <w:tab w:val="clear" w:pos="1191"/>
        <w:tab w:val="right" w:pos="9072"/>
      </w:tabs>
      <w:spacing w:after="0" w:line="180" w:lineRule="exact"/>
    </w:pPr>
    <w:rPr>
      <w:color w:val="948671"/>
      <w:sz w:val="15"/>
    </w:rPr>
  </w:style>
  <w:style w:type="table" w:styleId="TableGrid">
    <w:name w:val="Table Grid"/>
    <w:aliases w:val="AEMO"/>
    <w:basedOn w:val="TableNormal"/>
    <w:rsid w:val="00510DB6"/>
    <w:pPr>
      <w:spacing w:line="240" w:lineRule="exact"/>
    </w:pPr>
    <w:rPr>
      <w:rFonts w:ascii="Arial" w:hAnsi="Arial"/>
      <w:color w:val="1E4164"/>
      <w:sz w:val="18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color w:val="002060"/>
        <w:sz w:val="18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rFonts w:ascii="Arial" w:hAnsi="Arial"/>
        <w:color w:val="002060"/>
        <w:sz w:val="18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  <w:style w:type="paragraph" w:customStyle="1" w:styleId="Bold">
    <w:name w:val="Bold"/>
    <w:basedOn w:val="Normal"/>
    <w:rsid w:val="00307D90"/>
    <w:pPr>
      <w:spacing w:before="120"/>
    </w:pPr>
    <w:rPr>
      <w:b/>
    </w:rPr>
  </w:style>
  <w:style w:type="paragraph" w:customStyle="1" w:styleId="TableHeaderText">
    <w:name w:val="Table Header Text"/>
    <w:basedOn w:val="Normal"/>
    <w:rsid w:val="00307D90"/>
    <w:pPr>
      <w:tabs>
        <w:tab w:val="clear" w:pos="397"/>
        <w:tab w:val="clear" w:pos="794"/>
        <w:tab w:val="clear" w:pos="1191"/>
      </w:tabs>
      <w:spacing w:after="0" w:line="240" w:lineRule="exact"/>
    </w:pPr>
    <w:rPr>
      <w:caps/>
      <w:color w:val="FFFFFF"/>
      <w:sz w:val="18"/>
      <w:lang w:eastAsia="en-US"/>
    </w:rPr>
  </w:style>
  <w:style w:type="paragraph" w:customStyle="1" w:styleId="TableText">
    <w:name w:val="Table Text"/>
    <w:basedOn w:val="Normal"/>
    <w:rsid w:val="00307D90"/>
    <w:pPr>
      <w:tabs>
        <w:tab w:val="clear" w:pos="397"/>
        <w:tab w:val="clear" w:pos="794"/>
        <w:tab w:val="clear" w:pos="1191"/>
      </w:tabs>
      <w:spacing w:after="0" w:line="240" w:lineRule="exact"/>
    </w:pPr>
    <w:rPr>
      <w:color w:val="1E4164"/>
      <w:sz w:val="18"/>
      <w:lang w:eastAsia="en-US"/>
    </w:rPr>
  </w:style>
  <w:style w:type="paragraph" w:customStyle="1" w:styleId="Graphic1">
    <w:name w:val="Graphic1"/>
    <w:basedOn w:val="Normal"/>
    <w:next w:val="Normal"/>
    <w:qFormat/>
    <w:rsid w:val="00307D90"/>
    <w:pPr>
      <w:tabs>
        <w:tab w:val="clear" w:pos="397"/>
        <w:tab w:val="clear" w:pos="794"/>
        <w:tab w:val="clear" w:pos="1191"/>
      </w:tabs>
      <w:spacing w:after="200" w:line="240" w:lineRule="atLeast"/>
    </w:pPr>
    <w:rPr>
      <w:color w:val="A9C399"/>
      <w:lang w:eastAsia="en-US"/>
    </w:rPr>
  </w:style>
  <w:style w:type="paragraph" w:customStyle="1" w:styleId="NOCIndentedBullet">
    <w:name w:val="NOC Indented Bullet"/>
    <w:basedOn w:val="NOCIndentedBodyText"/>
    <w:next w:val="NOCIndentedBodyText"/>
    <w:rsid w:val="00F410CF"/>
    <w:pPr>
      <w:numPr>
        <w:numId w:val="26"/>
      </w:numPr>
    </w:pPr>
  </w:style>
  <w:style w:type="paragraph" w:styleId="BodyText">
    <w:name w:val="Body Text"/>
    <w:link w:val="BodyTextChar"/>
    <w:rsid w:val="00F410CF"/>
    <w:pPr>
      <w:spacing w:before="100" w:after="100" w:line="260" w:lineRule="atLeast"/>
      <w:ind w:left="1134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410CF"/>
    <w:rPr>
      <w:rFonts w:ascii="Arial" w:hAnsi="Arial"/>
      <w:sz w:val="22"/>
      <w:lang w:val="en-AU" w:eastAsia="en-US" w:bidi="ar-SA"/>
    </w:rPr>
  </w:style>
  <w:style w:type="paragraph" w:customStyle="1" w:styleId="NOCfollowon">
    <w:name w:val="NOC follow on"/>
    <w:basedOn w:val="NOCIndentedBodyText"/>
    <w:next w:val="NOCIndentedBodyText"/>
    <w:rsid w:val="00F410CF"/>
  </w:style>
  <w:style w:type="paragraph" w:customStyle="1" w:styleId="NOCIndentedNumber">
    <w:name w:val="NOC Indented Number"/>
    <w:basedOn w:val="NOCIndentedBodyText"/>
    <w:rsid w:val="00F410CF"/>
    <w:pPr>
      <w:numPr>
        <w:numId w:val="27"/>
      </w:numPr>
    </w:pPr>
  </w:style>
  <w:style w:type="paragraph" w:customStyle="1" w:styleId="NOCBodyText">
    <w:name w:val="NOC Body Text"/>
    <w:basedOn w:val="BodyText"/>
    <w:rsid w:val="00F410CF"/>
    <w:pPr>
      <w:ind w:left="0"/>
    </w:pPr>
  </w:style>
  <w:style w:type="paragraph" w:customStyle="1" w:styleId="NOCHeading">
    <w:name w:val="NOC Heading"/>
    <w:basedOn w:val="NOCBodyText"/>
    <w:rsid w:val="00F410CF"/>
    <w:pPr>
      <w:keepNext/>
      <w:numPr>
        <w:numId w:val="25"/>
      </w:numPr>
      <w:spacing w:before="240"/>
    </w:pPr>
    <w:rPr>
      <w:rFonts w:cs="Arial"/>
      <w:b/>
      <w:bCs/>
    </w:rPr>
  </w:style>
  <w:style w:type="paragraph" w:customStyle="1" w:styleId="NOCIndentedBodyText">
    <w:name w:val="NOC Indented Body Text"/>
    <w:basedOn w:val="NOCBodyText"/>
    <w:link w:val="NOCIndentedBodyTextChar"/>
    <w:rsid w:val="00F410CF"/>
    <w:pPr>
      <w:ind w:left="567"/>
    </w:pPr>
  </w:style>
  <w:style w:type="paragraph" w:customStyle="1" w:styleId="NOCCodeExtract">
    <w:name w:val="NOC Code Extract"/>
    <w:basedOn w:val="NOCIndentedBodyText"/>
    <w:next w:val="NOCIndentedBodyText"/>
    <w:rsid w:val="00F410CF"/>
    <w:pPr>
      <w:ind w:left="1134"/>
    </w:pPr>
    <w:rPr>
      <w:i/>
      <w:iCs/>
    </w:rPr>
  </w:style>
  <w:style w:type="character" w:customStyle="1" w:styleId="Guidelines">
    <w:name w:val="Guidelines"/>
    <w:rsid w:val="00F410CF"/>
    <w:rPr>
      <w:i/>
    </w:rPr>
  </w:style>
  <w:style w:type="paragraph" w:customStyle="1" w:styleId="NOCFooter">
    <w:name w:val="NOC Footer"/>
    <w:basedOn w:val="NOCBodyText"/>
    <w:rsid w:val="00F410CF"/>
    <w:pPr>
      <w:tabs>
        <w:tab w:val="right" w:pos="9072"/>
      </w:tabs>
      <w:spacing w:after="0" w:line="240" w:lineRule="auto"/>
    </w:pPr>
    <w:rPr>
      <w:sz w:val="16"/>
    </w:rPr>
  </w:style>
  <w:style w:type="character" w:styleId="PageNumber">
    <w:name w:val="page number"/>
    <w:rsid w:val="00F410CF"/>
    <w:rPr>
      <w:sz w:val="16"/>
    </w:rPr>
  </w:style>
  <w:style w:type="character" w:styleId="Strong">
    <w:name w:val="Strong"/>
    <w:basedOn w:val="DefaultParagraphFont"/>
    <w:qFormat/>
    <w:rsid w:val="00491E51"/>
    <w:rPr>
      <w:b/>
      <w:bCs/>
    </w:rPr>
  </w:style>
  <w:style w:type="paragraph" w:styleId="ListBullet2">
    <w:name w:val="List Bullet 2"/>
    <w:basedOn w:val="Normal"/>
    <w:rsid w:val="00546945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711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3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728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28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28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3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2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08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3082F"/>
    <w:rPr>
      <w:color w:val="800080" w:themeColor="followedHyperlink"/>
      <w:u w:val="single"/>
    </w:rPr>
  </w:style>
  <w:style w:type="character" w:customStyle="1" w:styleId="NOCIndentedBodyTextChar">
    <w:name w:val="NOC Indented Body Text Char"/>
    <w:basedOn w:val="DefaultParagraphFont"/>
    <w:link w:val="NOCIndentedBodyText"/>
    <w:locked/>
    <w:rsid w:val="0078658D"/>
    <w:rPr>
      <w:rFonts w:ascii="Arial" w:hAnsi="Arial"/>
      <w:sz w:val="22"/>
      <w:lang w:eastAsia="en-US"/>
    </w:rPr>
  </w:style>
  <w:style w:type="paragraph" w:customStyle="1" w:styleId="Default">
    <w:name w:val="Default"/>
    <w:rsid w:val="00454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63B25"/>
    <w:rPr>
      <w:rFonts w:ascii="Arial" w:hAnsi="Arial"/>
      <w:sz w:val="22"/>
    </w:rPr>
  </w:style>
  <w:style w:type="table" w:styleId="LightShading-Accent6">
    <w:name w:val="Light Shading Accent 6"/>
    <w:basedOn w:val="TableNormal"/>
    <w:uiPriority w:val="60"/>
    <w:rsid w:val="00136F5B"/>
    <w:rPr>
      <w:rFonts w:ascii="Calibri" w:hAnsi="Calibri"/>
      <w:color w:val="F79646" w:themeColor="accent6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Calibri" w:hAnsi="Calibri"/>
        <w:b/>
        <w:bCs/>
      </w:rPr>
      <w:tblPr/>
      <w:tcPr>
        <w:shd w:val="clear" w:color="auto" w:fill="92CDDC" w:themeFill="accent5" w:themeFillTint="99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Calibri" w:hAnsi="Calibri"/>
        <w:b/>
        <w:bCs/>
        <w:color w:val="EEECE1" w:themeColor="background2"/>
      </w:rPr>
      <w:tblPr/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band2Vert">
      <w:tblPr/>
      <w:tcPr>
        <w:shd w:val="clear" w:color="auto" w:fill="B6CFE9"/>
      </w:tcPr>
    </w:tblStylePr>
  </w:style>
  <w:style w:type="character" w:styleId="FootnoteReference">
    <w:name w:val="footnote reference"/>
    <w:basedOn w:val="DefaultParagraphFont"/>
    <w:uiPriority w:val="99"/>
    <w:unhideWhenUsed/>
    <w:rsid w:val="00026ADE"/>
    <w:rPr>
      <w:vertAlign w:val="superscript"/>
    </w:rPr>
  </w:style>
  <w:style w:type="paragraph" w:styleId="FootnoteText">
    <w:name w:val="footnote text"/>
    <w:aliases w:val="(NECG) Footnote Text,ALTS FOOTNOTE,APR,APR Footnote"/>
    <w:basedOn w:val="Normal"/>
    <w:link w:val="FootnoteTextChar"/>
    <w:unhideWhenUsed/>
    <w:rsid w:val="00026ADE"/>
    <w:pPr>
      <w:tabs>
        <w:tab w:val="clear" w:pos="397"/>
        <w:tab w:val="clear" w:pos="794"/>
        <w:tab w:val="clear" w:pos="1191"/>
      </w:tabs>
      <w:spacing w:after="0" w:line="240" w:lineRule="auto"/>
      <w:ind w:left="113" w:hanging="113"/>
    </w:pPr>
    <w:rPr>
      <w:rFonts w:asciiTheme="minorHAnsi" w:hAnsiTheme="minorHAnsi"/>
      <w:sz w:val="16"/>
      <w:lang w:eastAsia="en-US"/>
    </w:rPr>
  </w:style>
  <w:style w:type="character" w:customStyle="1" w:styleId="FootnoteTextChar">
    <w:name w:val="Footnote Text Char"/>
    <w:aliases w:val="(NECG) Footnote Text Char,ALTS FOOTNOTE Char,APR Char,APR Footnote Char"/>
    <w:basedOn w:val="DefaultParagraphFont"/>
    <w:link w:val="FootnoteText"/>
    <w:rsid w:val="00026ADE"/>
    <w:rPr>
      <w:rFonts w:asciiTheme="minorHAnsi" w:hAnsiTheme="minorHAns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6630">
                      <w:marLeft w:val="645"/>
                      <w:marRight w:val="645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ICTOR~1\LOCALS~1\Temp\notesFFF692\Notice%20of%201st%20stage%20of%20Rules%20Consult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a14523ce-dede-483e-883a-2d83261080bd">MARKETS-35-540</_dlc_DocId>
    <_dlc_DocIdUrl xmlns="a14523ce-dede-483e-883a-2d83261080bd">
      <Url>http://sharedocs/sites/markets/me/_layouts/15/DocIdRedir.aspx?ID=MARKETS-35-540</Url>
      <Description>MARKETS-35-540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F564246B364E9780885EA9FBD830" ma:contentTypeVersion="0" ma:contentTypeDescription="Create a new document." ma:contentTypeScope="" ma:versionID="20b6f78c7acc63b8be4f56ba943d855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609b2132cc27c2e027996f255529d9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2F02-32FA-4851-8BDC-8516B1C00CB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4523ce-dede-483e-883a-2d83261080b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BEA1C2-AE3F-4A5A-97F7-7EC6B75D8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A0B1B-4CE8-4807-853E-105F5B0D0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F9B1D-7B04-49FF-8FA2-AC584F84A0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65E0B3-50ED-41CE-B26D-5798B73831E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D0AFE1-FE65-4E90-8951-C42C3668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1st stage of Rules Consultation</Template>
  <TotalTime>296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First Stage Consultation</vt:lpstr>
    </vt:vector>
  </TitlesOfParts>
  <Company>AEMO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First Stage Consultation</dc:title>
  <dc:subject>SRAS Documents</dc:subject>
  <dc:creator>victoriah</dc:creator>
  <cp:lastModifiedBy>Jackie Krizmanic</cp:lastModifiedBy>
  <cp:revision>8</cp:revision>
  <cp:lastPrinted>2016-04-20T01:30:00Z</cp:lastPrinted>
  <dcterms:created xsi:type="dcterms:W3CDTF">2018-02-28T05:55:00Z</dcterms:created>
  <dcterms:modified xsi:type="dcterms:W3CDTF">2018-03-15T04:50:00Z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8700</vt:r8>
  </property>
  <property fmtid="{D5CDD505-2E9C-101B-9397-08002B2CF9AE}" pid="3" name="ContentTypeId">
    <vt:lpwstr>0x010100C14AF564246B364E9780885EA9FBD830</vt:lpwstr>
  </property>
  <property fmtid="{D5CDD505-2E9C-101B-9397-08002B2CF9AE}" pid="4" name="_dlc_DocIdItemGuid">
    <vt:lpwstr>cdeffeec-042e-4651-b922-d53fbcda9ec1</vt:lpwstr>
  </property>
  <property fmtid="{D5CDD505-2E9C-101B-9397-08002B2CF9AE}" pid="5" name="AEMODescription">
    <vt:lpwstr/>
  </property>
  <property fmtid="{D5CDD505-2E9C-101B-9397-08002B2CF9AE}" pid="6" name="eDocsHistory">
    <vt:lpwstr/>
  </property>
  <property fmtid="{D5CDD505-2E9C-101B-9397-08002B2CF9AE}" pid="7" name="eDocsCategory1">
    <vt:lpwstr/>
  </property>
  <property fmtid="{D5CDD505-2E9C-101B-9397-08002B2CF9AE}" pid="8" name="eDocsFolderNumber">
    <vt:lpwstr/>
  </property>
  <property fmtid="{D5CDD505-2E9C-101B-9397-08002B2CF9AE}" pid="9" name="xd_ProgID">
    <vt:lpwstr/>
  </property>
  <property fmtid="{D5CDD505-2E9C-101B-9397-08002B2CF9AE}" pid="10" name="eDocsEmailDate">
    <vt:lpwstr/>
  </property>
  <property fmtid="{D5CDD505-2E9C-101B-9397-08002B2CF9AE}" pid="11" name="_CopySource">
    <vt:lpwstr>http://sharedocs/sites/sopp/SOPPDocs/Ancilliary Services/SRAS/Consultations/1st Stage Notice/SRAS - 1st Stage Notice - 18 Jul 2011.docx</vt:lpwstr>
  </property>
  <property fmtid="{D5CDD505-2E9C-101B-9397-08002B2CF9AE}" pid="12" name="AEMODocumentTypeTaxHTField0">
    <vt:lpwstr/>
  </property>
  <property fmtid="{D5CDD505-2E9C-101B-9397-08002B2CF9AE}" pid="13" name="AEMOKeywordsTaxHTField0">
    <vt:lpwstr/>
  </property>
  <property fmtid="{D5CDD505-2E9C-101B-9397-08002B2CF9AE}" pid="14" name="eDocsVersionNumber">
    <vt:lpwstr/>
  </property>
  <property fmtid="{D5CDD505-2E9C-101B-9397-08002B2CF9AE}" pid="15" name="eDocsCategory3">
    <vt:lpwstr/>
  </property>
  <property fmtid="{D5CDD505-2E9C-101B-9397-08002B2CF9AE}" pid="16" name="TaxCatchAll">
    <vt:lpwstr/>
  </property>
  <property fmtid="{D5CDD505-2E9C-101B-9397-08002B2CF9AE}" pid="17" name="eDocsDocumentID">
    <vt:lpwstr/>
  </property>
  <property fmtid="{D5CDD505-2E9C-101B-9397-08002B2CF9AE}" pid="18" name="eDocsFolderDetails">
    <vt:lpwstr/>
  </property>
  <property fmtid="{D5CDD505-2E9C-101B-9397-08002B2CF9AE}" pid="19" name="eDocsCategory2">
    <vt:lpwstr/>
  </property>
  <property fmtid="{D5CDD505-2E9C-101B-9397-08002B2CF9AE}" pid="20" name="TemplateUrl">
    <vt:lpwstr/>
  </property>
  <property fmtid="{D5CDD505-2E9C-101B-9397-08002B2CF9AE}" pid="21" name="eDocsSecurity">
    <vt:lpwstr/>
  </property>
  <property fmtid="{D5CDD505-2E9C-101B-9397-08002B2CF9AE}" pid="22" name="eDocsRelatedDocument">
    <vt:lpwstr/>
  </property>
  <property fmtid="{D5CDD505-2E9C-101B-9397-08002B2CF9AE}" pid="23" name="AEMOMigratedStatus">
    <vt:lpwstr/>
  </property>
  <property fmtid="{D5CDD505-2E9C-101B-9397-08002B2CF9AE}" pid="24" name="eDocsEmailFrom">
    <vt:lpwstr/>
  </property>
  <property fmtid="{D5CDD505-2E9C-101B-9397-08002B2CF9AE}" pid="25" name="AEMOKeywords">
    <vt:lpwstr>76;#National Electricity Rules|96f2c7da-d53c-41c4-a176-d02b7487d813;#70;#Consultation|7aea6583-16db-41ec-9430-a7cc84b52572</vt:lpwstr>
  </property>
  <property fmtid="{D5CDD505-2E9C-101B-9397-08002B2CF9AE}" pid="26" name="AEMODocumentType">
    <vt:lpwstr>32;#Publication|8ae4cf81-fd7c-4b5d-880f-3ad9d29fca1a</vt:lpwstr>
  </property>
</Properties>
</file>