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6120D6" w:rsidRDefault="00BA22E6" w:rsidP="00DD445F">
            <w:pPr>
              <w:pStyle w:val="Cover-Title"/>
            </w:pPr>
            <w:r w:rsidRPr="00BA22E6">
              <w:rPr>
                <w14:textFill>
                  <w14:solidFill>
                    <w14:schemeClr w14:val="tx1"/>
                  </w14:solidFill>
                </w14:textFill>
              </w:rPr>
              <w:t>Indicative Extrapolation Input Data For 2019-20 Marginal Loss Factors</w:t>
            </w:r>
          </w:p>
        </w:tc>
      </w:tr>
    </w:tbl>
    <w:p w:rsidR="004022C8" w:rsidRDefault="004022C8" w:rsidP="0097771C"/>
    <w:p w:rsidR="00D95CF0" w:rsidRDefault="00D95CF0" w:rsidP="0097771C"/>
    <w:p w:rsidR="00CA7C11" w:rsidRDefault="003A163E" w:rsidP="006120D6">
      <w:pPr>
        <w:jc w:val="right"/>
      </w:pPr>
      <w:sdt>
        <w:sdtPr>
          <w:rPr>
            <w:rStyle w:val="Cover-DateChar"/>
          </w:rPr>
          <w:id w:val="-7301465"/>
          <w:placeholder>
            <w:docPart w:val="82F26F610A5444DA868FFA0CA0D369F8"/>
          </w:placeholder>
          <w15:color w:val="C41230"/>
        </w:sdtPr>
        <w:sdtEndPr>
          <w:rPr>
            <w:rStyle w:val="Cover-DateChar"/>
          </w:rPr>
        </w:sdtEndPr>
        <w:sdtContent>
          <w:r w:rsidR="00BA22E6">
            <w:rPr>
              <w:rStyle w:val="Cover-DateChar"/>
            </w:rPr>
            <w:t>October 2018</w:t>
          </w:r>
        </w:sdtContent>
      </w:sdt>
    </w:p>
    <w:p w:rsidR="00CA7C11" w:rsidRDefault="00CA7C11" w:rsidP="0097771C"/>
    <w:p w:rsidR="00E25C5D" w:rsidRDefault="00E25C5D" w:rsidP="0097771C"/>
    <w:sdt>
      <w:sdtPr>
        <w:rPr>
          <w:rStyle w:val="Cover-SubtitleChar"/>
          <w:szCs w:val="24"/>
        </w:rPr>
        <w:id w:val="1359925080"/>
        <w:lock w:val="sdtLocked"/>
        <w:placeholder>
          <w:docPart w:val="BEBF37906B4B42358B513458829F4638"/>
        </w:placeholder>
        <w15:color w:val="C41230"/>
      </w:sdtPr>
      <w:sdtEndPr>
        <w:rPr>
          <w:rStyle w:val="DefaultParagraphFont"/>
          <w:szCs w:val="22"/>
        </w:rPr>
      </w:sdtEndPr>
      <w:sdtContent>
        <w:p w:rsidR="00E25C5D" w:rsidRPr="00306E22" w:rsidRDefault="00BA22E6" w:rsidP="00BA22E6">
          <w:pPr>
            <w:pStyle w:val="Cover-Subtitle"/>
          </w:pPr>
          <w:r>
            <w:rPr>
              <w:rStyle w:val="Cover-SubtitleChar"/>
              <w:szCs w:val="24"/>
            </w:rPr>
            <w:t>F</w:t>
          </w:r>
          <w:r w:rsidR="007A3778">
            <w:t>or the National Electricity Market</w:t>
          </w:r>
        </w:p>
      </w:sdtContent>
    </w:sdt>
    <w:p w:rsidR="00D102A8" w:rsidRDefault="00D102A8" w:rsidP="0097771C"/>
    <w:p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rsidR="00D102A8" w:rsidRPr="007E72B1" w:rsidRDefault="00D102A8" w:rsidP="007E72B1">
      <w:pPr>
        <w:pStyle w:val="Heading-P2"/>
      </w:pPr>
      <w:r w:rsidRPr="007E72B1">
        <w:t xml:space="preserve">Important </w:t>
      </w:r>
      <w:r w:rsidR="007A3778" w:rsidRPr="007E72B1">
        <w:t>n</w:t>
      </w:r>
      <w:r w:rsidRPr="007E72B1">
        <w:t>otice</w:t>
      </w:r>
    </w:p>
    <w:p w:rsidR="00D102A8" w:rsidRPr="00E25C5D" w:rsidRDefault="00D102A8" w:rsidP="00E25C5D">
      <w:pPr>
        <w:pStyle w:val="ImportantNotice-Subheading"/>
      </w:pPr>
      <w:r w:rsidRPr="00E25C5D">
        <w:t>PURPOSE</w:t>
      </w:r>
    </w:p>
    <w:p w:rsidR="00BA22E6" w:rsidRPr="00BA22E6" w:rsidRDefault="00BA22E6" w:rsidP="00BA22E6">
      <w:pPr>
        <w:pStyle w:val="ImportantNotice-Subheading"/>
        <w:rPr>
          <w:rFonts w:asciiTheme="minorHAnsi" w:hAnsiTheme="minorHAnsi"/>
          <w:b w:val="0"/>
          <w:caps w:val="0"/>
          <w:sz w:val="20"/>
          <w:szCs w:val="22"/>
        </w:rPr>
      </w:pPr>
      <w:r w:rsidRPr="00BA22E6">
        <w:rPr>
          <w:rFonts w:asciiTheme="minorHAnsi" w:hAnsiTheme="minorHAnsi"/>
          <w:b w:val="0"/>
          <w:caps w:val="0"/>
          <w:sz w:val="20"/>
          <w:szCs w:val="22"/>
        </w:rPr>
        <w:t>AEMO has prepared this document to provide indicative projections of generation to be used in the Marginal Loss Factor calculation for the 20</w:t>
      </w:r>
      <w:r w:rsidR="00E021BC">
        <w:rPr>
          <w:rFonts w:asciiTheme="minorHAnsi" w:hAnsiTheme="minorHAnsi"/>
          <w:b w:val="0"/>
          <w:caps w:val="0"/>
          <w:sz w:val="20"/>
          <w:szCs w:val="22"/>
        </w:rPr>
        <w:t>19</w:t>
      </w:r>
      <w:r>
        <w:rPr>
          <w:rFonts w:asciiTheme="minorHAnsi" w:hAnsiTheme="minorHAnsi"/>
          <w:b w:val="0"/>
          <w:caps w:val="0"/>
          <w:sz w:val="20"/>
          <w:szCs w:val="22"/>
        </w:rPr>
        <w:t>-</w:t>
      </w:r>
      <w:r w:rsidR="00E021BC">
        <w:rPr>
          <w:rFonts w:asciiTheme="minorHAnsi" w:hAnsiTheme="minorHAnsi"/>
          <w:b w:val="0"/>
          <w:caps w:val="0"/>
          <w:sz w:val="20"/>
          <w:szCs w:val="22"/>
        </w:rPr>
        <w:t>20</w:t>
      </w:r>
      <w:r w:rsidRPr="00BA22E6">
        <w:rPr>
          <w:rFonts w:asciiTheme="minorHAnsi" w:hAnsiTheme="minorHAnsi"/>
          <w:b w:val="0"/>
          <w:caps w:val="0"/>
          <w:sz w:val="20"/>
          <w:szCs w:val="22"/>
        </w:rPr>
        <w:t xml:space="preserve"> financial year. The generation projections are indicative only, using historical dispatch data.</w:t>
      </w:r>
    </w:p>
    <w:p w:rsidR="00BA22E6" w:rsidRDefault="00BA22E6" w:rsidP="00BA22E6">
      <w:pPr>
        <w:pStyle w:val="ImportantNotice-Subheading"/>
        <w:rPr>
          <w:rFonts w:asciiTheme="minorHAnsi" w:hAnsiTheme="minorHAnsi"/>
          <w:b w:val="0"/>
          <w:caps w:val="0"/>
          <w:sz w:val="20"/>
          <w:szCs w:val="22"/>
        </w:rPr>
      </w:pPr>
      <w:r w:rsidRPr="00BA22E6">
        <w:rPr>
          <w:rFonts w:asciiTheme="minorHAnsi" w:hAnsiTheme="minorHAnsi"/>
          <w:b w:val="0"/>
          <w:caps w:val="0"/>
          <w:sz w:val="20"/>
          <w:szCs w:val="22"/>
        </w:rPr>
        <w:t>AEMO publishes this document in accordance with clause 5.5.6 of the Methodology for Calculating Forward Looking Loss Factors (version 7.0). This publication is based on information available to AEMO at the time of publication</w:t>
      </w:r>
      <w:r>
        <w:rPr>
          <w:rFonts w:asciiTheme="minorHAnsi" w:hAnsiTheme="minorHAnsi"/>
          <w:b w:val="0"/>
          <w:caps w:val="0"/>
          <w:sz w:val="20"/>
          <w:szCs w:val="22"/>
        </w:rPr>
        <w:t>.</w:t>
      </w:r>
    </w:p>
    <w:p w:rsidR="00E25C5D" w:rsidRDefault="00E25C5D" w:rsidP="00BA22E6">
      <w:pPr>
        <w:pStyle w:val="ImportantNotice-Subheading"/>
      </w:pPr>
      <w:r w:rsidRPr="00E25C5D">
        <w:t>Disclaimer</w:t>
      </w:r>
    </w:p>
    <w:p w:rsidR="007A3778" w:rsidRDefault="00BA22E6" w:rsidP="007A3778">
      <w:pPr>
        <w:pStyle w:val="ImportantNotice-Body"/>
      </w:pPr>
      <w:r w:rsidRPr="00BA22E6">
        <w:t>This document or the information in it may be subsequently updated or amended. This document does not constitute legal or business advice, and should not be relied on as a substitute for obtaining detailed advice about the National Electricity Law, the National Electricity Rules, or any other applicable laws, procedures or policies. AEMO has made every effort to ensure the quality of the information in this document but cannot guarantee its accuracy or completeness</w:t>
      </w:r>
      <w:r w:rsidR="007A3778">
        <w:t xml:space="preserve">. </w:t>
      </w:r>
    </w:p>
    <w:p w:rsidR="00E25C5D" w:rsidRPr="00E25C5D" w:rsidRDefault="007A3778" w:rsidP="007A3778">
      <w:pPr>
        <w:pStyle w:val="ImportantNotice-Body"/>
      </w:pPr>
      <w:r>
        <w:t>Accordingly, to the maximum extent permitted by law, AEMO and its officers, employees and consultants involved in the preparation of this document:</w:t>
      </w:r>
    </w:p>
    <w:p w:rsidR="00E25C5D" w:rsidRPr="00E25C5D" w:rsidRDefault="00E25C5D" w:rsidP="00E66CA4">
      <w:pPr>
        <w:pStyle w:val="ImportantNotice-Bullet"/>
      </w:pPr>
      <w:r w:rsidRPr="00E25C5D">
        <w:t>make no representation or warranty, express or implied, as to the currency, accuracy, reliability or completeness of the information in this document; and</w:t>
      </w:r>
    </w:p>
    <w:p w:rsidR="00E25C5D" w:rsidRPr="00E25C5D" w:rsidRDefault="00E25C5D" w:rsidP="00E66CA4">
      <w:pPr>
        <w:pStyle w:val="ImportantNotice-Bullet"/>
      </w:pPr>
      <w:r w:rsidRPr="00E25C5D">
        <w:t>are not liable (whether by reason of negligence or otherwise) for any statements or representations in this document, or any omissions from it, or for any use or reliance on the information in it.</w:t>
      </w: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rsidR="00606038" w:rsidRPr="004022C8" w:rsidRDefault="00BA22E6" w:rsidP="00BA22E6">
      <w:pPr>
        <w:pStyle w:val="Heading1"/>
      </w:pPr>
      <w:r>
        <w:t>Introduction</w:t>
      </w:r>
      <w:r w:rsidR="00606038">
        <w:t xml:space="preserve"> </w:t>
      </w:r>
      <w:bookmarkStart w:id="0" w:name="_Toc499732733"/>
      <w:bookmarkStart w:id="1" w:name="_Toc504144564"/>
    </w:p>
    <w:bookmarkEnd w:id="0"/>
    <w:bookmarkEnd w:id="1"/>
    <w:p w:rsidR="00BA22E6" w:rsidRPr="00BA22E6" w:rsidRDefault="00BA22E6" w:rsidP="00BA22E6">
      <w:pPr>
        <w:pStyle w:val="BodyText"/>
        <w:rPr>
          <w:lang w:val="en-GB" w:eastAsia="en-AU"/>
        </w:rPr>
      </w:pPr>
      <w:r w:rsidRPr="00BA22E6">
        <w:rPr>
          <w:lang w:val="en-GB" w:eastAsia="en-AU"/>
        </w:rPr>
        <w:t xml:space="preserve">The National Electricity Rules (NER) require AEMO to determine inter-regional loss factor equations and calculated inter-regional and intra-regional loss factors each year, and publish the factors by 1 April for the financial year commencing on 1 July. The calculation is performed in accordance with the published </w:t>
      </w:r>
      <w:r>
        <w:rPr>
          <w:lang w:val="en-GB" w:eastAsia="en-AU"/>
        </w:rPr>
        <w:t>Forward</w:t>
      </w:r>
      <w:r>
        <w:rPr>
          <w:lang w:val="en-GB" w:eastAsia="en-AU"/>
        </w:rPr>
        <w:noBreakHyphen/>
      </w:r>
      <w:r w:rsidRPr="00BA22E6">
        <w:rPr>
          <w:lang w:val="en-GB" w:eastAsia="en-AU"/>
        </w:rPr>
        <w:t>Looking Transmission Loss Factors methodology (Methodology)</w:t>
      </w:r>
      <w:r>
        <w:rPr>
          <w:rStyle w:val="FootnoteReference"/>
          <w:lang w:val="en-GB" w:eastAsia="en-AU"/>
        </w:rPr>
        <w:footnoteReference w:id="1"/>
      </w:r>
      <w:r w:rsidRPr="00BA22E6">
        <w:rPr>
          <w:lang w:val="en-GB" w:eastAsia="en-AU"/>
        </w:rPr>
        <w:t xml:space="preserve">. </w:t>
      </w:r>
    </w:p>
    <w:p w:rsidR="00BA22E6" w:rsidRPr="00BA22E6" w:rsidRDefault="00BA22E6" w:rsidP="00BA22E6">
      <w:pPr>
        <w:pStyle w:val="BodyText"/>
        <w:rPr>
          <w:lang w:val="en-GB" w:eastAsia="en-AU"/>
        </w:rPr>
      </w:pPr>
      <w:r w:rsidRPr="00BA22E6">
        <w:rPr>
          <w:lang w:val="en-GB" w:eastAsia="en-AU"/>
        </w:rPr>
        <w:t>AEMO uses historical generation dispatch profiles and forecast demand profiles as inputs to the loss factor calculation, then applies the minimal extrapolation process (as described in the Methodology) to the historical generation to produce forecast generation dispatch to ensure supply and demand is in balance.</w:t>
      </w:r>
    </w:p>
    <w:p w:rsidR="00BA22E6" w:rsidRPr="00BA22E6" w:rsidRDefault="00BA22E6" w:rsidP="00BA22E6">
      <w:pPr>
        <w:pStyle w:val="BodyText"/>
        <w:rPr>
          <w:lang w:val="en-GB" w:eastAsia="en-AU"/>
        </w:rPr>
      </w:pPr>
      <w:r w:rsidRPr="00BA22E6">
        <w:rPr>
          <w:lang w:val="en-GB" w:eastAsia="en-AU"/>
        </w:rPr>
        <w:t>Historical generation dispatch profiles might not accurately represent anticipated generation patterns, and could therefore result in marginal loss factors (MLFs) that are not representative of likely generation in the target year. To address this, clause 5.5.6 of the Methodology describes the process and conditions in which AEMO may use an adjusted generation profile proposed by a Generator in lieu of a historical generation profile for the MLF calculation.</w:t>
      </w:r>
    </w:p>
    <w:p w:rsidR="0090571F" w:rsidRDefault="00BA22E6" w:rsidP="00BA22E6">
      <w:pPr>
        <w:pStyle w:val="BodyText"/>
        <w:rPr>
          <w:lang w:val="en-GB" w:eastAsia="en-AU"/>
        </w:rPr>
      </w:pPr>
      <w:r w:rsidRPr="00BA22E6">
        <w:rPr>
          <w:lang w:val="en-GB" w:eastAsia="en-AU"/>
        </w:rPr>
        <w:t>AEMO has now published indicative historical and extrapolated generation forecasts for the</w:t>
      </w:r>
      <w:r>
        <w:rPr>
          <w:lang w:val="en-GB" w:eastAsia="en-AU"/>
        </w:rPr>
        <w:t xml:space="preserve"> </w:t>
      </w:r>
      <w:r w:rsidRPr="00BA22E6">
        <w:rPr>
          <w:lang w:val="en-GB" w:eastAsia="en-AU"/>
        </w:rPr>
        <w:t>201</w:t>
      </w:r>
      <w:r w:rsidR="00E021BC">
        <w:rPr>
          <w:lang w:val="en-GB" w:eastAsia="en-AU"/>
        </w:rPr>
        <w:t>9</w:t>
      </w:r>
      <w:r>
        <w:rPr>
          <w:lang w:val="en-GB" w:eastAsia="en-AU"/>
        </w:rPr>
        <w:t>-</w:t>
      </w:r>
      <w:r w:rsidR="00E021BC">
        <w:rPr>
          <w:lang w:val="en-GB" w:eastAsia="en-AU"/>
        </w:rPr>
        <w:t>20</w:t>
      </w:r>
      <w:r w:rsidRPr="00BA22E6">
        <w:rPr>
          <w:lang w:val="en-GB" w:eastAsia="en-AU"/>
        </w:rPr>
        <w:t xml:space="preserve"> MLF </w:t>
      </w:r>
      <w:r w:rsidRPr="00BA22E6">
        <w:t>calculation</w:t>
      </w:r>
      <w:r w:rsidRPr="00BA22E6">
        <w:rPr>
          <w:lang w:val="en-GB" w:eastAsia="en-AU"/>
        </w:rPr>
        <w:t xml:space="preserve">. This information is provided to help Generators to identify whether the historical generation profiles and the extrapolated generation forecast produced in accordance with the Methodology will be unrepresentative of expected generation dispatch for their plant in the </w:t>
      </w:r>
      <w:r>
        <w:rPr>
          <w:lang w:val="en-GB" w:eastAsia="en-AU"/>
        </w:rPr>
        <w:t>201</w:t>
      </w:r>
      <w:r w:rsidR="00E021BC">
        <w:rPr>
          <w:lang w:val="en-GB" w:eastAsia="en-AU"/>
        </w:rPr>
        <w:t>9</w:t>
      </w:r>
      <w:r>
        <w:rPr>
          <w:lang w:val="en-GB" w:eastAsia="en-AU"/>
        </w:rPr>
        <w:t>-</w:t>
      </w:r>
      <w:r w:rsidR="00E021BC">
        <w:rPr>
          <w:lang w:val="en-GB" w:eastAsia="en-AU"/>
        </w:rPr>
        <w:t>20</w:t>
      </w:r>
      <w:r w:rsidRPr="00BA22E6">
        <w:rPr>
          <w:lang w:val="en-GB" w:eastAsia="en-AU"/>
        </w:rPr>
        <w:t xml:space="preserve"> year.</w:t>
      </w:r>
    </w:p>
    <w:p w:rsidR="00BA22E6" w:rsidRDefault="00BA22E6" w:rsidP="00BA22E6">
      <w:pPr>
        <w:pStyle w:val="Heading1"/>
      </w:pPr>
      <w:r w:rsidRPr="00BA22E6">
        <w:t>Assumptions</w:t>
      </w:r>
    </w:p>
    <w:p w:rsidR="00BA22E6" w:rsidRDefault="00BA22E6" w:rsidP="00BA22E6">
      <w:pPr>
        <w:pStyle w:val="BodyText"/>
      </w:pPr>
      <w:r>
        <w:t>The purpose of the indicative extrapolation study is to provide an indication of the generation forecast that will be used in calculation of the 2019-20 MLFs. The historical generation used for the purposes of this forecast is based on data from the 2017-18 financial year.</w:t>
      </w:r>
    </w:p>
    <w:p w:rsidR="00BA22E6" w:rsidRPr="003A6384" w:rsidRDefault="00BA22E6" w:rsidP="00BA22E6">
      <w:pPr>
        <w:pStyle w:val="BodyText"/>
      </w:pPr>
      <w:r>
        <w:t>AEMO will continue to analyse and check these generation forecasts. Consequently, the final generation forecasts used in calculation of the 2019-20 MLFs may differ from those presented in this report.</w:t>
      </w:r>
    </w:p>
    <w:p w:rsidR="00BA22E6" w:rsidRPr="003A6384" w:rsidRDefault="00BA22E6" w:rsidP="00BA22E6">
      <w:pPr>
        <w:pStyle w:val="BodyText"/>
      </w:pPr>
      <w:r w:rsidRPr="003A6384">
        <w:t>This study incorporates the fol</w:t>
      </w:r>
      <w:r>
        <w:t>lowing simplifying assumptions:</w:t>
      </w:r>
    </w:p>
    <w:p w:rsidR="00BA22E6" w:rsidRPr="00BA22E6" w:rsidRDefault="00BA22E6" w:rsidP="000E12E1">
      <w:pPr>
        <w:pStyle w:val="ListBullet"/>
        <w:tabs>
          <w:tab w:val="left" w:pos="5387"/>
        </w:tabs>
      </w:pPr>
      <w:r w:rsidRPr="00BA22E6">
        <w:t xml:space="preserve">Consumption forecasts are based on </w:t>
      </w:r>
      <w:r w:rsidR="00DF1F90" w:rsidRPr="00BA22E6">
        <w:t xml:space="preserve">AEMO’s </w:t>
      </w:r>
      <w:r w:rsidR="00DF1F90">
        <w:t>Electricity</w:t>
      </w:r>
      <w:r w:rsidR="000E12E1">
        <w:t xml:space="preserve"> Statement of Opportunities (ESOO) </w:t>
      </w:r>
      <w:r w:rsidRPr="00BA22E6">
        <w:t>operational annual energy consumption (</w:t>
      </w:r>
      <w:r>
        <w:t>N</w:t>
      </w:r>
      <w:r w:rsidRPr="00BA22E6">
        <w:t xml:space="preserve">eutral scenario) forecasts, published in </w:t>
      </w:r>
      <w:r w:rsidR="00E021BC">
        <w:t>on 24 August 2018</w:t>
      </w:r>
      <w:r w:rsidR="00ED45E5">
        <w:rPr>
          <w:rStyle w:val="FootnoteReference"/>
        </w:rPr>
        <w:footnoteReference w:id="2"/>
      </w:r>
      <w:r w:rsidR="00E021BC">
        <w:t>.</w:t>
      </w:r>
    </w:p>
    <w:p w:rsidR="00BA22E6" w:rsidRPr="00BA22E6" w:rsidRDefault="00BA22E6" w:rsidP="00BA22E6">
      <w:pPr>
        <w:pStyle w:val="ListBullet"/>
      </w:pPr>
      <w:r w:rsidRPr="00BA22E6">
        <w:t>New loads conside</w:t>
      </w:r>
      <w:r>
        <w:t>red are limited to transmission-</w:t>
      </w:r>
      <w:r w:rsidRPr="00BA22E6">
        <w:t>connected loads greater than 50 MW.</w:t>
      </w:r>
    </w:p>
    <w:p w:rsidR="00BA22E6" w:rsidRPr="00BA22E6" w:rsidRDefault="00BA22E6" w:rsidP="00BA22E6">
      <w:pPr>
        <w:pStyle w:val="ListBullet"/>
      </w:pPr>
      <w:r w:rsidRPr="00BA22E6">
        <w:t>Load reductions considered are limited to transmission</w:t>
      </w:r>
      <w:r>
        <w:t>-</w:t>
      </w:r>
      <w:r w:rsidRPr="00BA22E6">
        <w:t>connected loads greater than 50 MW.</w:t>
      </w:r>
    </w:p>
    <w:p w:rsidR="00BA22E6" w:rsidRPr="00BA22E6" w:rsidRDefault="00BA22E6" w:rsidP="00BA22E6">
      <w:pPr>
        <w:pStyle w:val="ListBullet"/>
      </w:pPr>
      <w:r w:rsidRPr="00BA22E6">
        <w:t xml:space="preserve">Generator capacities are equal to those on the </w:t>
      </w:r>
      <w:bookmarkStart w:id="2" w:name="_Hlk528159176"/>
      <w:r w:rsidRPr="00BA22E6">
        <w:t>Generation Information Page</w:t>
      </w:r>
      <w:r>
        <w:rPr>
          <w:rStyle w:val="FootnoteReference"/>
        </w:rPr>
        <w:footnoteReference w:id="3"/>
      </w:r>
      <w:r w:rsidRPr="00BA22E6">
        <w:t xml:space="preserve"> published on </w:t>
      </w:r>
      <w:r w:rsidRPr="000E12E1">
        <w:t>31 July 2018</w:t>
      </w:r>
      <w:bookmarkEnd w:id="2"/>
      <w:r w:rsidRPr="00BA22E6">
        <w:t>.</w:t>
      </w:r>
    </w:p>
    <w:p w:rsidR="00BA22E6" w:rsidRPr="003A6384" w:rsidRDefault="00BA22E6" w:rsidP="00BA22E6">
      <w:pPr>
        <w:pStyle w:val="ListBullet"/>
      </w:pPr>
      <w:r w:rsidRPr="00BA22E6">
        <w:t xml:space="preserve">New generation considered is limited to </w:t>
      </w:r>
      <w:r w:rsidR="008A3131">
        <w:t>scheduled and semi-scheduled generators</w:t>
      </w:r>
      <w:r w:rsidRPr="00BA22E6">
        <w:t xml:space="preserve"> listed on the Generation Information Page published on 31 July 2018</w:t>
      </w:r>
      <w:r>
        <w:t>.</w:t>
      </w:r>
    </w:p>
    <w:p w:rsidR="00BA22E6" w:rsidRDefault="00BA22E6" w:rsidP="00BA22E6">
      <w:pPr>
        <w:pStyle w:val="BodyText"/>
      </w:pPr>
      <w:r>
        <w:t>To calculate the 2019-20 MLFs, AEMO modified historical generation data from the 2017-18 financial year to include:</w:t>
      </w:r>
    </w:p>
    <w:p w:rsidR="00BA22E6" w:rsidRDefault="00BA22E6" w:rsidP="00BA22E6">
      <w:pPr>
        <w:pStyle w:val="ListBullet"/>
      </w:pPr>
      <w:r>
        <w:t>Childers Solar Farm, Clermont Solar Farm, Collinsville PV, Coopers Gap, Darling Downs Solar Farm, Daydream Solar Farm, Emerald Solar Park, Hamilton Solar Farm, Haughton Solar Farm, Hayman Solar Farm, Kennedy Energy Park – Phase 1 – Solar, Kennedy Energy Park - Phase 1 – Storage, Kennedy Energy Park – Phase 1 – Wind, Lilyvale Solar Farm, Mount Emerald, Oakey 2 Solar Farm, Oakey Solar Farm, Ross River Solar Farm, Rugby Run Solar Farm, Susan River Solar Farm, Teebar Solar One, Whitsunday Solar Farm, and Yarranlea Solar in Queensland.</w:t>
      </w:r>
    </w:p>
    <w:p w:rsidR="00BA22E6" w:rsidRDefault="00BA22E6" w:rsidP="00BA22E6">
      <w:pPr>
        <w:pStyle w:val="ListBullet"/>
      </w:pPr>
      <w:r>
        <w:t>Beryl Solar Farm, Bodangora Wind Farm, Coleambally Solar Farm, Crookwell 2 Wind Farm, and Crudine Ridge Wind Farm in New South Wales.</w:t>
      </w:r>
    </w:p>
    <w:p w:rsidR="00BA22E6" w:rsidRDefault="00BA22E6" w:rsidP="00BA22E6">
      <w:pPr>
        <w:pStyle w:val="ListBullet"/>
      </w:pPr>
      <w:r>
        <w:t xml:space="preserve">Ballarat Energy Storage System, Bannerton Solar Park, Bulgana Green Power Hub – BESS, Bulgana Green Power Hub - Wind Farm, Crowlands Wind Farm, Gannawarra Energy Storage System, Gannawarra Solar Farm, Karadoc Solar Farm, Lal Lal Wind Energy Facility - Elaine end, Moorabool Wind Farm, Mt Gellibrand, Murra Warra Wind Farm - stage 1, Stockyard Hill, Wemen Solar Farm, and Yatpool Solar Farm in Victoria. </w:t>
      </w:r>
    </w:p>
    <w:p w:rsidR="00BA22E6" w:rsidRDefault="00BA22E6" w:rsidP="00BA22E6">
      <w:pPr>
        <w:pStyle w:val="ListBullet"/>
      </w:pPr>
      <w:r>
        <w:t>Barker Inlet Power Station, Bungala Two Solar Farm, ESCRI Dalrymple, Lincoln Gap Wind Farm - stage 1, Tailem Bend – Solar, and Willogoleche in South Australia.</w:t>
      </w:r>
    </w:p>
    <w:p w:rsidR="00BA22E6" w:rsidRDefault="00BA22E6" w:rsidP="00BA22E6">
      <w:pPr>
        <w:pStyle w:val="ListBullet"/>
      </w:pPr>
      <w:r>
        <w:t>Granville Harbour Wind Farm and Wild Cattle Hill Wind Farm in Tasmania.</w:t>
      </w:r>
    </w:p>
    <w:p w:rsidR="00BA22E6" w:rsidRDefault="00BA22E6" w:rsidP="00BA22E6">
      <w:pPr>
        <w:pStyle w:val="Heading1"/>
      </w:pPr>
      <w:r>
        <w:t>Results</w:t>
      </w:r>
    </w:p>
    <w:p w:rsidR="00BA22E6" w:rsidRDefault="00BA22E6" w:rsidP="00BA22E6">
      <w:pPr>
        <w:pStyle w:val="BodyText"/>
      </w:pPr>
      <w:r>
        <w:t>The results of this study are provided as a separate spreadsheet on AEMO’s website with this report</w:t>
      </w:r>
      <w:r>
        <w:rPr>
          <w:rStyle w:val="FootnoteReference"/>
        </w:rPr>
        <w:footnoteReference w:id="4"/>
      </w:r>
      <w:r>
        <w:t>. The results provide the following information in relation to scheduled generating units:</w:t>
      </w:r>
    </w:p>
    <w:p w:rsidR="00BA22E6" w:rsidRDefault="00BA22E6" w:rsidP="00BA22E6">
      <w:pPr>
        <w:pStyle w:val="ListBullet"/>
      </w:pPr>
      <w:r>
        <w:t>Historical generation, as monthly energy for each Transmission Node Identifier (TNI) from the 2017-18 financial year.</w:t>
      </w:r>
    </w:p>
    <w:p w:rsidR="00BA22E6" w:rsidRDefault="00BA22E6" w:rsidP="00BA22E6">
      <w:pPr>
        <w:pStyle w:val="ListBullet"/>
      </w:pPr>
      <w:r>
        <w:t>Forecast generation, as monthly energy for each TNI for the 2019-20 financial year based on AEMO’s indicative extrapolation study.</w:t>
      </w:r>
    </w:p>
    <w:p w:rsidR="00BA22E6" w:rsidRDefault="00BA22E6" w:rsidP="00BA22E6">
      <w:pPr>
        <w:pStyle w:val="ListBullet"/>
      </w:pPr>
      <w:r>
        <w:t>Energy limits, based on historical generation that would be applied for 2019-20, have been listed in the accompanying spreadsheet as an indication.</w:t>
      </w:r>
    </w:p>
    <w:p w:rsidR="00BA22E6" w:rsidRDefault="00BA22E6" w:rsidP="00BA22E6">
      <w:pPr>
        <w:pStyle w:val="BodyText"/>
      </w:pPr>
      <w:r>
        <w:t>In line with clause 5.5.2 of the Methodology, AEMO has not included this information for semi-scheduled and non-scheduled generation (such as wind farms and solar farms), and the output of these generators is not adjusted.</w:t>
      </w:r>
    </w:p>
    <w:p w:rsidR="00BA22E6" w:rsidRDefault="00BA22E6" w:rsidP="00BA22E6">
      <w:pPr>
        <w:pStyle w:val="BodyText"/>
      </w:pPr>
      <w:r>
        <w:t xml:space="preserve">AEMO has modelled </w:t>
      </w:r>
      <w:r w:rsidRPr="00015092">
        <w:t>Basslink flows at the historical figure of approximatel</w:t>
      </w:r>
      <w:r w:rsidRPr="00A1358A">
        <w:t xml:space="preserve">y </w:t>
      </w:r>
      <w:r w:rsidR="00B426FE">
        <w:t>193</w:t>
      </w:r>
      <w:r w:rsidR="00B426FE" w:rsidRPr="00A1358A">
        <w:t xml:space="preserve"> </w:t>
      </w:r>
      <w:r w:rsidRPr="00A1358A">
        <w:t xml:space="preserve">gigawatt hours </w:t>
      </w:r>
      <w:r w:rsidRPr="00A1358A">
        <w:br/>
        <w:t>(GWh)</w:t>
      </w:r>
      <w:r>
        <w:t xml:space="preserve"> net </w:t>
      </w:r>
      <w:r w:rsidRPr="00015092">
        <w:t xml:space="preserve">flowing from </w:t>
      </w:r>
      <w:r w:rsidRPr="00DB2D20">
        <w:t>Victoria</w:t>
      </w:r>
      <w:r>
        <w:t xml:space="preserve"> to Tasmania</w:t>
      </w:r>
      <w:r w:rsidRPr="00015092">
        <w:t>. The flow on Basslink is closely rel</w:t>
      </w:r>
      <w:r>
        <w:t xml:space="preserve">ated to generation </w:t>
      </w:r>
      <w:r>
        <w:br/>
        <w:t>in Tasmania.</w:t>
      </w:r>
    </w:p>
    <w:p w:rsidR="00BA22E6" w:rsidRPr="00015092" w:rsidRDefault="00BA22E6" w:rsidP="00BA22E6">
      <w:pPr>
        <w:pStyle w:val="BodyText"/>
      </w:pPr>
      <w:r>
        <w:t>The generation forecast used in calculation of the 2019-20 MLFs may differ from those published in this report. Reasons for a change may include, but are not limited to:</w:t>
      </w:r>
    </w:p>
    <w:p w:rsidR="00BA22E6" w:rsidRPr="00BA22E6" w:rsidRDefault="00BA22E6" w:rsidP="00BA22E6">
      <w:pPr>
        <w:pStyle w:val="ListBullet"/>
      </w:pPr>
      <w:r w:rsidRPr="00BA22E6">
        <w:t>AEMO’s acceptance of any adjusted generation profiles provided by Generators in accordance with the Methodology.</w:t>
      </w:r>
    </w:p>
    <w:p w:rsidR="00BA22E6" w:rsidRPr="00BA22E6" w:rsidRDefault="00BA22E6" w:rsidP="00BA22E6">
      <w:pPr>
        <w:pStyle w:val="ListBullet"/>
      </w:pPr>
      <w:r w:rsidRPr="00BA22E6">
        <w:t>Updated information that may be used for the final 2019</w:t>
      </w:r>
      <w:r>
        <w:t>-</w:t>
      </w:r>
      <w:r w:rsidRPr="00BA22E6">
        <w:t>20 MLF calculation.</w:t>
      </w:r>
    </w:p>
    <w:p w:rsidR="00BA22E6" w:rsidRPr="00015092" w:rsidRDefault="00BA22E6" w:rsidP="00BA22E6">
      <w:pPr>
        <w:pStyle w:val="ListBullet"/>
      </w:pPr>
      <w:r w:rsidRPr="00BA22E6">
        <w:t>Enforcement</w:t>
      </w:r>
      <w:r>
        <w:t xml:space="preserve"> of intra-regional transmission limits.</w:t>
      </w:r>
    </w:p>
    <w:p w:rsidR="00BA22E6" w:rsidRDefault="00BA22E6" w:rsidP="00BA22E6">
      <w:pPr>
        <w:pStyle w:val="Heading1"/>
      </w:pPr>
      <w:r>
        <w:t>Submission due date</w:t>
      </w:r>
    </w:p>
    <w:p w:rsidR="00BA22E6" w:rsidRDefault="00BA22E6" w:rsidP="00BA22E6">
      <w:pPr>
        <w:pStyle w:val="BodyText"/>
      </w:pPr>
      <w:r>
        <w:t>Registered Generators may submit proposed adjusted generation profiles for the 20</w:t>
      </w:r>
      <w:r w:rsidR="00E021BC">
        <w:t>19</w:t>
      </w:r>
      <w:r>
        <w:t>-</w:t>
      </w:r>
      <w:r w:rsidR="00E021BC">
        <w:t>20</w:t>
      </w:r>
      <w:r>
        <w:t xml:space="preserve"> MLF calculation to </w:t>
      </w:r>
      <w:hyperlink r:id="rId18" w:history="1">
        <w:r w:rsidRPr="00856FF4">
          <w:rPr>
            <w:rStyle w:val="Hyperlink"/>
          </w:rPr>
          <w:t>mlf.process@aemo.com.au</w:t>
        </w:r>
      </w:hyperlink>
      <w:r>
        <w:t xml:space="preserve">, in line with clause 5.5.6 of the Methodology. </w:t>
      </w:r>
    </w:p>
    <w:p w:rsidR="00BA22E6" w:rsidRDefault="00BA22E6" w:rsidP="00BA22E6">
      <w:pPr>
        <w:pStyle w:val="BodyText"/>
      </w:pPr>
      <w:r>
        <w:t xml:space="preserve">AEMO will then consider whether to accept any proposed adjustments for the 2019-20 MLF calculation. Generators should carefully consider the requirements and conditions for acceptance in clause 5.5.6 before making submissions. </w:t>
      </w:r>
    </w:p>
    <w:p w:rsidR="00BA22E6" w:rsidRDefault="00BA22E6" w:rsidP="00BA22E6">
      <w:pPr>
        <w:pStyle w:val="BodyText"/>
      </w:pPr>
      <w:r>
        <w:t xml:space="preserve">The due date for submissions is </w:t>
      </w:r>
      <w:r w:rsidR="00ED45E5" w:rsidRPr="00BA22E6">
        <w:rPr>
          <w:b/>
        </w:rPr>
        <w:t>1</w:t>
      </w:r>
      <w:r w:rsidR="00ED45E5">
        <w:rPr>
          <w:b/>
        </w:rPr>
        <w:t>9</w:t>
      </w:r>
      <w:r w:rsidR="00ED45E5" w:rsidRPr="00BA22E6">
        <w:rPr>
          <w:b/>
        </w:rPr>
        <w:t xml:space="preserve"> </w:t>
      </w:r>
      <w:r w:rsidRPr="00BA22E6">
        <w:rPr>
          <w:b/>
        </w:rPr>
        <w:t>November 2018</w:t>
      </w:r>
      <w:r>
        <w:t>. AEMO may not be able to consider submissions received after the due date.</w:t>
      </w:r>
    </w:p>
    <w:p w:rsidR="00BA22E6" w:rsidRPr="00BA22E6" w:rsidRDefault="00BA22E6" w:rsidP="00BA22E6">
      <w:pPr>
        <w:pStyle w:val="BodyText"/>
        <w:rPr>
          <w:lang w:val="en-GB" w:eastAsia="en-AU"/>
        </w:rPr>
      </w:pPr>
    </w:p>
    <w:sectPr w:rsidR="00BA22E6" w:rsidRPr="00BA22E6" w:rsidSect="00140B12">
      <w:footerReference w:type="default" r:id="rId19"/>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3E" w:rsidRDefault="003A163E" w:rsidP="0097771C">
      <w:r>
        <w:separator/>
      </w:r>
    </w:p>
  </w:endnote>
  <w:endnote w:type="continuationSeparator" w:id="0">
    <w:p w:rsidR="003A163E" w:rsidRDefault="003A163E"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774B0" w:rsidTr="00556A71">
      <w:tc>
        <w:tcPr>
          <w:tcW w:w="7797" w:type="dxa"/>
        </w:tcPr>
        <w:p w:rsidR="00C774B0" w:rsidRDefault="00C774B0" w:rsidP="00974A42">
          <w:pPr>
            <w:pStyle w:val="Footer"/>
          </w:pPr>
          <w:r w:rsidRPr="008A6693">
            <w:t xml:space="preserve">© AEMO </w:t>
          </w:r>
          <w:r>
            <w:fldChar w:fldCharType="begin"/>
          </w:r>
          <w:r>
            <w:instrText xml:space="preserve"> PRINTDATE  \@ "yyyy"  \* MERGEFORMAT </w:instrText>
          </w:r>
          <w:r>
            <w:fldChar w:fldCharType="separate"/>
          </w:r>
          <w:r w:rsidR="00BA22E6">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BA22E6">
            <w:rPr>
              <w:noProof/>
            </w:rPr>
            <w:t>Report Title over a few lines or more</w:t>
          </w:r>
          <w:r>
            <w:rPr>
              <w:noProof/>
            </w:rPr>
            <w:fldChar w:fldCharType="end"/>
          </w:r>
        </w:p>
      </w:tc>
      <w:tc>
        <w:tcPr>
          <w:tcW w:w="1615" w:type="dxa"/>
        </w:tcPr>
        <w:p w:rsidR="00C774B0" w:rsidRDefault="00C774B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C774B0" w:rsidRDefault="00C7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C267D2">
    <w:pPr>
      <w:pStyle w:val="Footer"/>
    </w:pPr>
    <w:r w:rsidRPr="00E25C5D">
      <w:t xml:space="preserve">© </w:t>
    </w:r>
    <w:r>
      <w:fldChar w:fldCharType="begin"/>
    </w:r>
    <w:r>
      <w:instrText xml:space="preserve"> PRINTDATE  \@ "yyyy"  \* MERGEFORMAT </w:instrText>
    </w:r>
    <w:r>
      <w:fldChar w:fldCharType="separate"/>
    </w:r>
    <w:r w:rsidR="00BA22E6">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774B0" w:rsidTr="0085738D">
      <w:tc>
        <w:tcPr>
          <w:tcW w:w="4142" w:type="pct"/>
        </w:tcPr>
        <w:p w:rsidR="00C774B0" w:rsidRDefault="00C774B0" w:rsidP="00974A42">
          <w:pPr>
            <w:pStyle w:val="Footer"/>
          </w:pPr>
          <w:r w:rsidRPr="008A6693">
            <w:t xml:space="preserve">© AEMO </w:t>
          </w:r>
          <w:r>
            <w:fldChar w:fldCharType="begin"/>
          </w:r>
          <w:r>
            <w:instrText xml:space="preserve"> PRINTDATE  \@ "yyyy"  \* MERGEFORMAT </w:instrText>
          </w:r>
          <w:r>
            <w:fldChar w:fldCharType="separate"/>
          </w:r>
          <w:r w:rsidR="00BA22E6">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670C28">
            <w:rPr>
              <w:noProof/>
            </w:rPr>
            <w:t>Indicative Extrapolation Input Data For 2019-20 Marginal Loss Factors</w:t>
          </w:r>
          <w:r>
            <w:rPr>
              <w:noProof/>
            </w:rPr>
            <w:fldChar w:fldCharType="end"/>
          </w:r>
        </w:p>
      </w:tc>
      <w:tc>
        <w:tcPr>
          <w:tcW w:w="858" w:type="pct"/>
        </w:tcPr>
        <w:p w:rsidR="00C774B0" w:rsidRDefault="00C774B0" w:rsidP="00974A42">
          <w:pPr>
            <w:pStyle w:val="Footer"/>
            <w:jc w:val="right"/>
          </w:pPr>
          <w:r>
            <w:fldChar w:fldCharType="begin"/>
          </w:r>
          <w:r>
            <w:instrText xml:space="preserve"> PAGE   \* MERGEFORMAT </w:instrText>
          </w:r>
          <w:r>
            <w:fldChar w:fldCharType="separate"/>
          </w:r>
          <w:r w:rsidR="00891A84">
            <w:rPr>
              <w:noProof/>
            </w:rPr>
            <w:t>8</w:t>
          </w:r>
          <w:r>
            <w:rPr>
              <w:noProof/>
            </w:rPr>
            <w:fldChar w:fldCharType="end"/>
          </w:r>
        </w:p>
      </w:tc>
    </w:tr>
  </w:tbl>
  <w:p w:rsidR="00C774B0" w:rsidRDefault="00C7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3E" w:rsidRDefault="003A163E" w:rsidP="0097771C">
      <w:r>
        <w:separator/>
      </w:r>
    </w:p>
  </w:footnote>
  <w:footnote w:type="continuationSeparator" w:id="0">
    <w:p w:rsidR="003A163E" w:rsidRDefault="003A163E" w:rsidP="0097771C">
      <w:r>
        <w:continuationSeparator/>
      </w:r>
    </w:p>
  </w:footnote>
  <w:footnote w:id="1">
    <w:p w:rsidR="00BA22E6" w:rsidRDefault="00BA22E6">
      <w:pPr>
        <w:pStyle w:val="FootnoteText"/>
      </w:pPr>
      <w:r>
        <w:rPr>
          <w:rStyle w:val="FootnoteReference"/>
        </w:rPr>
        <w:footnoteRef/>
      </w:r>
      <w:r>
        <w:t xml:space="preserve"> </w:t>
      </w:r>
      <w:r w:rsidRPr="00BA22E6">
        <w:t xml:space="preserve">AEMO. </w:t>
      </w:r>
      <w:r w:rsidRPr="00BA22E6">
        <w:rPr>
          <w:i/>
        </w:rPr>
        <w:t>Forward-Looking Transmission Loss Factors</w:t>
      </w:r>
      <w:r w:rsidRPr="00BA22E6">
        <w:t xml:space="preserve">, Version 7.0, effective 8 February 2017. Available at </w:t>
      </w:r>
      <w:hyperlink r:id="rId1" w:history="1">
        <w:r w:rsidRPr="00856FF4">
          <w:rPr>
            <w:rStyle w:val="Hyperlink"/>
          </w:rPr>
          <w:t>http://www.aemo.com.au/-/media/Files/Electricity/NEM/Security_and_Reliability/Loss_Factors_and_Regional_Boundaries/2017/Forward-Looking-Loss-Factor-Methodology-v70.pdf</w:t>
        </w:r>
      </w:hyperlink>
      <w:r w:rsidRPr="00BA22E6">
        <w:t>.</w:t>
      </w:r>
    </w:p>
  </w:footnote>
  <w:footnote w:id="2">
    <w:p w:rsidR="00ED45E5" w:rsidRDefault="00ED45E5">
      <w:pPr>
        <w:pStyle w:val="FootnoteText"/>
      </w:pPr>
      <w:r>
        <w:rPr>
          <w:rStyle w:val="FootnoteReference"/>
        </w:rPr>
        <w:footnoteRef/>
      </w:r>
      <w:r>
        <w:t xml:space="preserve"> </w:t>
      </w:r>
      <w:r w:rsidRPr="00BA22E6">
        <w:t>Available at</w:t>
      </w:r>
      <w:r>
        <w:t xml:space="preserve"> </w:t>
      </w:r>
      <w:hyperlink r:id="rId2" w:history="1">
        <w:r w:rsidRPr="001951AF">
          <w:rPr>
            <w:rStyle w:val="Hyperlink"/>
          </w:rPr>
          <w:t>http://forecasting.aemo.com.au/Electricity/AnnualConsumption/Operational</w:t>
        </w:r>
      </w:hyperlink>
      <w:r>
        <w:t xml:space="preserve"> </w:t>
      </w:r>
    </w:p>
  </w:footnote>
  <w:footnote w:id="3">
    <w:p w:rsidR="00BA22E6" w:rsidRDefault="00BA22E6">
      <w:pPr>
        <w:pStyle w:val="FootnoteText"/>
      </w:pPr>
      <w:r>
        <w:rPr>
          <w:rStyle w:val="FootnoteReference"/>
        </w:rPr>
        <w:footnoteRef/>
      </w:r>
      <w:r>
        <w:t xml:space="preserve"> </w:t>
      </w:r>
      <w:r w:rsidRPr="00BA22E6">
        <w:t xml:space="preserve">Available at </w:t>
      </w:r>
      <w:hyperlink r:id="rId3" w:history="1">
        <w:r w:rsidRPr="00856FF4">
          <w:rPr>
            <w:rStyle w:val="Hyperlink"/>
          </w:rPr>
          <w:t>http://www.aemo.com.au/Electricity/National-Electricity-Market-NEM/Planning-and-forecasting/Generation-information</w:t>
        </w:r>
      </w:hyperlink>
      <w:r w:rsidRPr="00BA22E6">
        <w:t>.</w:t>
      </w:r>
    </w:p>
  </w:footnote>
  <w:footnote w:id="4">
    <w:p w:rsidR="00BA22E6" w:rsidRDefault="00BA22E6">
      <w:pPr>
        <w:pStyle w:val="FootnoteText"/>
      </w:pPr>
      <w:r>
        <w:rPr>
          <w:rStyle w:val="FootnoteReference"/>
        </w:rPr>
        <w:footnoteRef/>
      </w:r>
      <w:r>
        <w:t xml:space="preserve"> Spreadsheet is available at</w:t>
      </w:r>
      <w:r w:rsidRPr="00BA22E6">
        <w:t xml:space="preserve"> </w:t>
      </w:r>
      <w:hyperlink r:id="rId4" w:history="1">
        <w:r w:rsidRPr="00856FF4">
          <w:rPr>
            <w:rStyle w:val="Hyperlink"/>
          </w:rPr>
          <w:t>http://www.aemo.com.au/Electricity/National-Electricity-Market-NEM/Security-and-reliability/Loss-factor-and-regional-boundaries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97771C">
    <w:r>
      <w:rPr>
        <w:noProof/>
        <w:lang w:eastAsia="en-AU"/>
      </w:rPr>
      <mc:AlternateContent>
        <mc:Choice Requires="wps">
          <w:drawing>
            <wp:anchor distT="0" distB="0" distL="114300" distR="114300" simplePos="0" relativeHeight="251683840" behindDoc="0" locked="1" layoutInCell="1" allowOverlap="1" wp14:anchorId="2D0E49A7" wp14:editId="182C5C72">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B96C"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r>
      <w:rPr>
        <w:noProof/>
        <w:lang w:eastAsia="en-AU"/>
      </w:rPr>
      <w:drawing>
        <wp:anchor distT="0" distB="0" distL="114300" distR="114300" simplePos="0" relativeHeight="251678720" behindDoc="1" locked="1" layoutInCell="1" allowOverlap="1" wp14:anchorId="78E32D8B" wp14:editId="3E572D2D">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97771C">
    <w:r>
      <w:rPr>
        <w:noProof/>
        <w:lang w:eastAsia="en-AU"/>
      </w:rPr>
      <mc:AlternateContent>
        <mc:Choice Requires="wpg">
          <w:drawing>
            <wp:anchor distT="0" distB="0" distL="114300" distR="114300" simplePos="0" relativeHeight="251682816" behindDoc="0" locked="1" layoutInCell="1" allowOverlap="1" wp14:anchorId="316CDE9B" wp14:editId="38A4B02F">
              <wp:simplePos x="0" y="0"/>
              <wp:positionH relativeFrom="page">
                <wp:align>left</wp:align>
              </wp:positionH>
              <wp:positionV relativeFrom="page">
                <wp:align>top</wp:align>
              </wp:positionV>
              <wp:extent cx="7560000" cy="10692000"/>
              <wp:effectExtent l="0" t="0" r="3175" b="0"/>
              <wp:wrapNone/>
              <wp:docPr id="148"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a:extLst/>
                      </wps:cNvPr>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a:extLst/>
                      </wps:cNvPr>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a:extLst/>
                      </wps:cNvPr>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a:extLst/>
                      </wps:cNvPr>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181E0D3"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D24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C5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F81CF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EA2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1C3F4AC8"/>
    <w:multiLevelType w:val="multilevel"/>
    <w:tmpl w:val="D69CB3B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6"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4"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5"/>
  </w:num>
  <w:num w:numId="2">
    <w:abstractNumId w:val="37"/>
  </w:num>
  <w:num w:numId="3">
    <w:abstractNumId w:val="16"/>
  </w:num>
  <w:num w:numId="4">
    <w:abstractNumId w:val="17"/>
  </w:num>
  <w:num w:numId="5">
    <w:abstractNumId w:val="33"/>
  </w:num>
  <w:num w:numId="6">
    <w:abstractNumId w:val="34"/>
  </w:num>
  <w:num w:numId="7">
    <w:abstractNumId w:val="35"/>
  </w:num>
  <w:num w:numId="8">
    <w:abstractNumId w:val="21"/>
  </w:num>
  <w:num w:numId="9">
    <w:abstractNumId w:val="29"/>
  </w:num>
  <w:num w:numId="10">
    <w:abstractNumId w:val="18"/>
  </w:num>
  <w:num w:numId="11">
    <w:abstractNumId w:val="11"/>
  </w:num>
  <w:num w:numId="12">
    <w:abstractNumId w:val="12"/>
  </w:num>
  <w:num w:numId="13">
    <w:abstractNumId w:val="18"/>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0"/>
  </w:num>
  <w:num w:numId="15">
    <w:abstractNumId w:val="31"/>
  </w:num>
  <w:num w:numId="16">
    <w:abstractNumId w:val="19"/>
  </w:num>
  <w:num w:numId="17">
    <w:abstractNumId w:val="14"/>
  </w:num>
  <w:num w:numId="18">
    <w:abstractNumId w:val="31"/>
    <w:lvlOverride w:ilvl="0">
      <w:startOverride w:val="1"/>
    </w:lvlOverride>
  </w:num>
  <w:num w:numId="19">
    <w:abstractNumId w:val="36"/>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7"/>
  </w:num>
  <w:num w:numId="28">
    <w:abstractNumId w:val="24"/>
  </w:num>
  <w:num w:numId="29">
    <w:abstractNumId w:val="23"/>
  </w:num>
  <w:num w:numId="30">
    <w:abstractNumId w:val="26"/>
  </w:num>
  <w:num w:numId="31">
    <w:abstractNumId w:val="36"/>
    <w:lvlOverride w:ilvl="0">
      <w:startOverride w:val="1"/>
    </w:lvlOverride>
  </w:num>
  <w:num w:numId="32">
    <w:abstractNumId w:val="36"/>
    <w:lvlOverride w:ilvl="0">
      <w:startOverride w:val="1"/>
    </w:lvlOverride>
  </w:num>
  <w:num w:numId="33">
    <w:abstractNumId w:val="15"/>
  </w:num>
  <w:num w:numId="34">
    <w:abstractNumId w:va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0"/>
  </w:num>
  <w:num w:numId="39">
    <w:abstractNumId w:val="32"/>
  </w:num>
  <w:num w:numId="40">
    <w:abstractNumId w:val="22"/>
  </w:num>
  <w:num w:numId="41">
    <w:abstractNumId w:val="7"/>
  </w:num>
  <w:num w:numId="42">
    <w:abstractNumId w:val="18"/>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E6"/>
    <w:rsid w:val="000040BB"/>
    <w:rsid w:val="000076EB"/>
    <w:rsid w:val="000178F2"/>
    <w:rsid w:val="00024B68"/>
    <w:rsid w:val="00051531"/>
    <w:rsid w:val="00055A4C"/>
    <w:rsid w:val="0006133B"/>
    <w:rsid w:val="00071D05"/>
    <w:rsid w:val="00077CE3"/>
    <w:rsid w:val="000863F7"/>
    <w:rsid w:val="000E12E1"/>
    <w:rsid w:val="000E45AB"/>
    <w:rsid w:val="000E6DFB"/>
    <w:rsid w:val="00101B12"/>
    <w:rsid w:val="001273D1"/>
    <w:rsid w:val="001337F9"/>
    <w:rsid w:val="00140B12"/>
    <w:rsid w:val="00141788"/>
    <w:rsid w:val="0015165B"/>
    <w:rsid w:val="001521A0"/>
    <w:rsid w:val="00161387"/>
    <w:rsid w:val="00161CEA"/>
    <w:rsid w:val="00190755"/>
    <w:rsid w:val="00193546"/>
    <w:rsid w:val="001B3F9E"/>
    <w:rsid w:val="001B44D7"/>
    <w:rsid w:val="001C605F"/>
    <w:rsid w:val="001F0682"/>
    <w:rsid w:val="00215A8B"/>
    <w:rsid w:val="0022778D"/>
    <w:rsid w:val="00272159"/>
    <w:rsid w:val="00296D15"/>
    <w:rsid w:val="00296E91"/>
    <w:rsid w:val="0029793F"/>
    <w:rsid w:val="002B3903"/>
    <w:rsid w:val="002B613F"/>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A163E"/>
    <w:rsid w:val="003B05F3"/>
    <w:rsid w:val="003C2CA6"/>
    <w:rsid w:val="003C4E0A"/>
    <w:rsid w:val="003D4A9E"/>
    <w:rsid w:val="003E135F"/>
    <w:rsid w:val="003E1744"/>
    <w:rsid w:val="004022C8"/>
    <w:rsid w:val="00415508"/>
    <w:rsid w:val="00416640"/>
    <w:rsid w:val="00420B6F"/>
    <w:rsid w:val="0042378C"/>
    <w:rsid w:val="00431C66"/>
    <w:rsid w:val="0044593D"/>
    <w:rsid w:val="004666D0"/>
    <w:rsid w:val="004821F8"/>
    <w:rsid w:val="00494810"/>
    <w:rsid w:val="004B5A95"/>
    <w:rsid w:val="004F2DC4"/>
    <w:rsid w:val="005109E2"/>
    <w:rsid w:val="00513471"/>
    <w:rsid w:val="00527165"/>
    <w:rsid w:val="005375D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C28"/>
    <w:rsid w:val="00670DC6"/>
    <w:rsid w:val="006751A1"/>
    <w:rsid w:val="006A7035"/>
    <w:rsid w:val="006A7611"/>
    <w:rsid w:val="006B5CDF"/>
    <w:rsid w:val="006D53A5"/>
    <w:rsid w:val="006F42C2"/>
    <w:rsid w:val="006F4D73"/>
    <w:rsid w:val="00705D96"/>
    <w:rsid w:val="00724310"/>
    <w:rsid w:val="00727321"/>
    <w:rsid w:val="00730A43"/>
    <w:rsid w:val="00736102"/>
    <w:rsid w:val="007426A4"/>
    <w:rsid w:val="007434C5"/>
    <w:rsid w:val="00750864"/>
    <w:rsid w:val="007772EE"/>
    <w:rsid w:val="007A3778"/>
    <w:rsid w:val="007B1CBF"/>
    <w:rsid w:val="007C68BC"/>
    <w:rsid w:val="007E72B1"/>
    <w:rsid w:val="00803CAE"/>
    <w:rsid w:val="0081699C"/>
    <w:rsid w:val="00837E75"/>
    <w:rsid w:val="00843D82"/>
    <w:rsid w:val="008447DE"/>
    <w:rsid w:val="00844FD9"/>
    <w:rsid w:val="0085738D"/>
    <w:rsid w:val="00877222"/>
    <w:rsid w:val="00885352"/>
    <w:rsid w:val="00891A84"/>
    <w:rsid w:val="008A3131"/>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426FE"/>
    <w:rsid w:val="00B54F53"/>
    <w:rsid w:val="00B62674"/>
    <w:rsid w:val="00B62CA1"/>
    <w:rsid w:val="00B642AD"/>
    <w:rsid w:val="00B90439"/>
    <w:rsid w:val="00B90AF4"/>
    <w:rsid w:val="00BA22E6"/>
    <w:rsid w:val="00BA63A4"/>
    <w:rsid w:val="00BB5A0C"/>
    <w:rsid w:val="00BD223F"/>
    <w:rsid w:val="00BF0E5F"/>
    <w:rsid w:val="00C13613"/>
    <w:rsid w:val="00C13977"/>
    <w:rsid w:val="00C168A5"/>
    <w:rsid w:val="00C267D2"/>
    <w:rsid w:val="00C774B0"/>
    <w:rsid w:val="00CA7C11"/>
    <w:rsid w:val="00CB3494"/>
    <w:rsid w:val="00CC30BA"/>
    <w:rsid w:val="00CC7CDB"/>
    <w:rsid w:val="00CD084D"/>
    <w:rsid w:val="00CE0B2F"/>
    <w:rsid w:val="00CE5E7B"/>
    <w:rsid w:val="00CF0DA0"/>
    <w:rsid w:val="00CF6156"/>
    <w:rsid w:val="00CF7998"/>
    <w:rsid w:val="00D05D5D"/>
    <w:rsid w:val="00D102A8"/>
    <w:rsid w:val="00D108A2"/>
    <w:rsid w:val="00D167C9"/>
    <w:rsid w:val="00D23ED8"/>
    <w:rsid w:val="00D619CE"/>
    <w:rsid w:val="00D93BF4"/>
    <w:rsid w:val="00D95CF0"/>
    <w:rsid w:val="00DB3D31"/>
    <w:rsid w:val="00DB4311"/>
    <w:rsid w:val="00DD445F"/>
    <w:rsid w:val="00DE4D26"/>
    <w:rsid w:val="00DF1F90"/>
    <w:rsid w:val="00DF313E"/>
    <w:rsid w:val="00E021BC"/>
    <w:rsid w:val="00E21021"/>
    <w:rsid w:val="00E25C5D"/>
    <w:rsid w:val="00E31575"/>
    <w:rsid w:val="00E3495C"/>
    <w:rsid w:val="00E5780D"/>
    <w:rsid w:val="00E634EF"/>
    <w:rsid w:val="00E66CA4"/>
    <w:rsid w:val="00E72BB1"/>
    <w:rsid w:val="00EA0347"/>
    <w:rsid w:val="00EB5D02"/>
    <w:rsid w:val="00EC275E"/>
    <w:rsid w:val="00ED30DD"/>
    <w:rsid w:val="00ED45E5"/>
    <w:rsid w:val="00EF36A5"/>
    <w:rsid w:val="00F01308"/>
    <w:rsid w:val="00F1054C"/>
    <w:rsid w:val="00F40640"/>
    <w:rsid w:val="00F455CD"/>
    <w:rsid w:val="00F51C76"/>
    <w:rsid w:val="00F606CC"/>
    <w:rsid w:val="00F74187"/>
    <w:rsid w:val="00F873AF"/>
    <w:rsid w:val="00F91549"/>
    <w:rsid w:val="00F94D25"/>
    <w:rsid w:val="00FA24DF"/>
    <w:rsid w:val="00FA6140"/>
    <w:rsid w:val="00FD1382"/>
    <w:rsid w:val="00FD2CAF"/>
    <w:rsid w:val="00FD3973"/>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934DB"/>
  <w14:defaultImageDpi w14:val="150"/>
  <w15:chartTrackingRefBased/>
  <w15:docId w15:val="{913F2255-5DE5-4730-859D-73D6B4C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uiPriority w:val="9"/>
    <w:qFormat/>
    <w:rsid w:val="00BA22E6"/>
    <w:pPr>
      <w:numPr>
        <w:numId w:val="17"/>
      </w:numPr>
      <w:spacing w:before="600" w:after="560" w:line="216" w:lineRule="auto"/>
      <w:outlineLvl w:val="0"/>
    </w:pPr>
    <w:rPr>
      <w:rFonts w:asciiTheme="majorHAnsi" w:eastAsia="+mj-ea" w:hAnsiTheme="majorHAnsi" w:cs="+mj-cs"/>
      <w:b/>
      <w:color w:val="222324" w:themeColor="text1"/>
      <w:kern w:val="24"/>
      <w:sz w:val="72"/>
      <w:szCs w:val="72"/>
      <w:lang w:val="en-GB" w:eastAsia="en-AU"/>
    </w:rPr>
  </w:style>
  <w:style w:type="paragraph" w:styleId="Heading2">
    <w:name w:val="heading 2"/>
    <w:next w:val="BodyText"/>
    <w:link w:val="Heading2Char"/>
    <w:uiPriority w:val="9"/>
    <w:unhideWhenUsed/>
    <w:qFormat/>
    <w:rsid w:val="00606038"/>
    <w:pPr>
      <w:keepNext/>
      <w:keepLines/>
      <w:numPr>
        <w:ilvl w:val="1"/>
        <w:numId w:val="17"/>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606038"/>
    <w:pPr>
      <w:keepNext/>
      <w:keepLines/>
      <w:numPr>
        <w:ilvl w:val="2"/>
        <w:numId w:val="17"/>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iPriority w:val="9"/>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uiPriority w:val="9"/>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uiPriority w:val="9"/>
    <w:rsid w:val="00BA22E6"/>
    <w:rPr>
      <w:rFonts w:asciiTheme="majorHAnsi" w:eastAsia="+mj-ea" w:hAnsiTheme="majorHAnsi" w:cs="+mj-cs"/>
      <w:b/>
      <w:color w:val="222324" w:themeColor="text1"/>
      <w:kern w:val="24"/>
      <w:sz w:val="72"/>
      <w:szCs w:val="72"/>
      <w:lang w:val="en-GB" w:eastAsia="en-AU"/>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uiPriority w:val="2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2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28"/>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3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891A84"/>
    <w:pPr>
      <w:numPr>
        <w:numId w:val="36"/>
      </w:numPr>
      <w:spacing w:after="560" w:line="216" w:lineRule="auto"/>
      <w:ind w:left="1418" w:hanging="1418"/>
      <w:outlineLvl w:val="0"/>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39"/>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C13977"/>
    <w:pPr>
      <w:numPr>
        <w:numId w:val="41"/>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CommentText">
    <w:name w:val="annotation text"/>
    <w:basedOn w:val="Normal"/>
    <w:link w:val="CommentTextChar"/>
    <w:uiPriority w:val="99"/>
    <w:semiHidden/>
    <w:unhideWhenUsed/>
    <w:rsid w:val="00BA22E6"/>
    <w:pPr>
      <w:spacing w:after="240"/>
      <w:jc w:val="both"/>
    </w:pPr>
    <w:rPr>
      <w:rFonts w:ascii="Arial" w:eastAsia="Calibri" w:hAnsi="Arial" w:cs="Times New Roman"/>
      <w:bCs w:val="0"/>
      <w:color w:val="auto"/>
      <w:lang w:eastAsia="en-US"/>
    </w:rPr>
  </w:style>
  <w:style w:type="character" w:customStyle="1" w:styleId="CommentTextChar">
    <w:name w:val="Comment Text Char"/>
    <w:basedOn w:val="DefaultParagraphFont"/>
    <w:link w:val="CommentText"/>
    <w:uiPriority w:val="99"/>
    <w:semiHidden/>
    <w:rsid w:val="00BA22E6"/>
    <w:rPr>
      <w:rFonts w:ascii="Arial" w:eastAsia="Calibri" w:hAnsi="Arial" w:cs="Times New Roman"/>
      <w:sz w:val="20"/>
      <w:szCs w:val="20"/>
      <w:lang w:eastAsia="en-US"/>
    </w:rPr>
  </w:style>
  <w:style w:type="paragraph" w:customStyle="1" w:styleId="ListLetter">
    <w:name w:val="List Letter"/>
    <w:basedOn w:val="ListBullet"/>
    <w:uiPriority w:val="9"/>
    <w:rsid w:val="00BA22E6"/>
    <w:pPr>
      <w:numPr>
        <w:numId w:val="45"/>
      </w:numPr>
      <w:spacing w:before="60" w:after="80" w:line="250" w:lineRule="atLeast"/>
    </w:pPr>
    <w:rPr>
      <w:rFonts w:ascii="Arial" w:eastAsia="Calibri" w:hAnsi="Arial" w:cs="Times New Roman"/>
      <w:bCs w:val="0"/>
      <w:color w:val="auto"/>
      <w:szCs w:val="24"/>
      <w:lang w:eastAsia="en-US"/>
    </w:rPr>
  </w:style>
  <w:style w:type="paragraph" w:customStyle="1" w:styleId="ListLetter2">
    <w:name w:val="List Letter 2"/>
    <w:basedOn w:val="ListLetter"/>
    <w:uiPriority w:val="10"/>
    <w:rsid w:val="00BA22E6"/>
    <w:pPr>
      <w:numPr>
        <w:ilvl w:val="1"/>
      </w:numPr>
    </w:pPr>
  </w:style>
  <w:style w:type="paragraph" w:customStyle="1" w:styleId="ListLetter3">
    <w:name w:val="List Letter 3"/>
    <w:basedOn w:val="ListLetter2"/>
    <w:uiPriority w:val="11"/>
    <w:rsid w:val="00BA22E6"/>
    <w:pPr>
      <w:numPr>
        <w:ilvl w:val="2"/>
      </w:numPr>
    </w:pPr>
  </w:style>
  <w:style w:type="character" w:styleId="CommentReference">
    <w:name w:val="annotation reference"/>
    <w:basedOn w:val="DefaultParagraphFont"/>
    <w:uiPriority w:val="99"/>
    <w:semiHidden/>
    <w:unhideWhenUsed/>
    <w:rsid w:val="00BA22E6"/>
    <w:rPr>
      <w:sz w:val="16"/>
      <w:szCs w:val="16"/>
    </w:rPr>
  </w:style>
  <w:style w:type="character" w:styleId="UnresolvedMention">
    <w:name w:val="Unresolved Mention"/>
    <w:basedOn w:val="DefaultParagraphFont"/>
    <w:uiPriority w:val="99"/>
    <w:semiHidden/>
    <w:unhideWhenUsed/>
    <w:rsid w:val="00BA22E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A22E6"/>
    <w:pPr>
      <w:spacing w:after="0"/>
      <w:jc w:val="left"/>
    </w:pPr>
    <w:rPr>
      <w:rFonts w:asciiTheme="minorHAnsi" w:eastAsiaTheme="minorEastAsia" w:hAnsiTheme="minorHAnsi"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BA22E6"/>
    <w:rPr>
      <w:rFonts w:ascii="Arial" w:eastAsia="Calibri" w:hAnsi="Arial" w:cs="Arial Unicode MS"/>
      <w:b/>
      <w:bCs/>
      <w:color w:val="222324"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lf.process@aemo.com.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emo.com.au/Electricity/National-Electricity-Market-NEM/Planning-and-forecasting/Generation-information" TargetMode="External"/><Relationship Id="rId2" Type="http://schemas.openxmlformats.org/officeDocument/2006/relationships/hyperlink" Target="http://forecasting.aemo.com.au/Electricity/AnnualConsumption/Operational" TargetMode="External"/><Relationship Id="rId1" Type="http://schemas.openxmlformats.org/officeDocument/2006/relationships/hyperlink" Target="http://www.aemo.com.au/-/media/Files/Electricity/NEM/Security_and_Reliability/Loss_Factors_and_Regional_Boundaries/2017/Forward-Looking-Loss-Factor-Methodology-v70.pdf" TargetMode="External"/><Relationship Id="rId4" Type="http://schemas.openxmlformats.org/officeDocument/2006/relationships/hyperlink" Target="http://www.aemo.com.au/Electricity/National-Electricity-Market-NEM/Security-and-reliability/Loss-factor-and-regional-bound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7\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26F610A5444DA868FFA0CA0D369F8"/>
        <w:category>
          <w:name w:val="General"/>
          <w:gallery w:val="placeholder"/>
        </w:category>
        <w:types>
          <w:type w:val="bbPlcHdr"/>
        </w:types>
        <w:behaviors>
          <w:behavior w:val="content"/>
        </w:behaviors>
        <w:guid w:val="{17658AB2-F7D3-4E87-B7FD-157F5AECD11B}"/>
      </w:docPartPr>
      <w:docPartBody>
        <w:p w:rsidR="00DD668C" w:rsidRDefault="00047F7A">
          <w:pPr>
            <w:pStyle w:val="82F26F610A5444DA868FFA0CA0D369F8"/>
          </w:pPr>
          <w:r w:rsidRPr="00114E44">
            <w:rPr>
              <w:rStyle w:val="PlaceholderText"/>
            </w:rPr>
            <w:t>Click or tap here to enter text.</w:t>
          </w:r>
        </w:p>
      </w:docPartBody>
    </w:docPart>
    <w:docPart>
      <w:docPartPr>
        <w:name w:val="BEBF37906B4B42358B513458829F4638"/>
        <w:category>
          <w:name w:val="General"/>
          <w:gallery w:val="placeholder"/>
        </w:category>
        <w:types>
          <w:type w:val="bbPlcHdr"/>
        </w:types>
        <w:behaviors>
          <w:behavior w:val="content"/>
        </w:behaviors>
        <w:guid w:val="{8491A98E-AF0C-4147-8235-122EBECAB352}"/>
      </w:docPartPr>
      <w:docPartBody>
        <w:p w:rsidR="00DD668C" w:rsidRDefault="00047F7A">
          <w:pPr>
            <w:pStyle w:val="BEBF37906B4B42358B513458829F4638"/>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8C"/>
    <w:rsid w:val="00047F7A"/>
    <w:rsid w:val="000875F1"/>
    <w:rsid w:val="00314643"/>
    <w:rsid w:val="00D214BE"/>
    <w:rsid w:val="00DD6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F26F610A5444DA868FFA0CA0D369F8">
    <w:name w:val="82F26F610A5444DA868FFA0CA0D369F8"/>
  </w:style>
  <w:style w:type="paragraph" w:customStyle="1" w:styleId="BEBF37906B4B42358B513458829F4638">
    <w:name w:val="BEBF37906B4B42358B513458829F4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&lt;div class="ExternalClass1558F65078A34619AFD29306F5641CF7"&gt;&lt;p&gt;​Post legal and comms review&lt;/p&gt;&lt;/div&gt;</AEMODescription>
    <_dlc_DocId xmlns="a14523ce-dede-483e-883a-2d83261080bd">SYSPERFCOMM-7-37654</_dlc_DocId>
    <_dlc_DocIdUrl xmlns="a14523ce-dede-483e-883a-2d83261080bd">
      <Url>http://sharedocs/sites/spc/_layouts/15/DocIdRedir.aspx?ID=SYSPERFCOMM-7-37654</Url>
      <Description>SYSPERFCOMM-7-37654</Description>
    </_dlc_DocIdUrl>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41333E58EE49546AC4762B4B290A597" ma:contentTypeVersion="35" ma:contentTypeDescription="" ma:contentTypeScope="" ma:versionID="2b03efff8169243f60775fd225b0eca3">
  <xsd:schema xmlns:xsd="http://www.w3.org/2001/XMLSchema" xmlns:xs="http://www.w3.org/2001/XMLSchema" xmlns:p="http://schemas.microsoft.com/office/2006/metadata/properties" xmlns:ns2="a14523ce-dede-483e-883a-2d83261080bd" targetNamespace="http://schemas.microsoft.com/office/2006/metadata/properties" ma:root="true" ma:fieldsID="d161067146624f58d60be8819c0ba040"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e78d33-ddd0-4fbb-9703-cd5bc71414b5}" ma:internalName="TaxCatchAll" ma:showField="CatchAllData"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e78d33-ddd0-4fbb-9703-cd5bc71414b5}" ma:internalName="TaxCatchAllLabel" ma:readOnly="true" ma:showField="CatchAllDataLabel"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B4CC-EBDE-4240-A3EF-45476E1BADA1}">
  <ds:schemaRefs>
    <ds:schemaRef ds:uri="http://schemas.microsoft.com/sharepoint/events"/>
  </ds:schemaRefs>
</ds:datastoreItem>
</file>

<file path=customXml/itemProps2.xml><?xml version="1.0" encoding="utf-8"?>
<ds:datastoreItem xmlns:ds="http://schemas.openxmlformats.org/officeDocument/2006/customXml" ds:itemID="{C229AE51-2081-453F-BE4D-CBC1FB911C55}">
  <ds:schemaRefs>
    <ds:schemaRef ds:uri="http://schemas.microsoft.com/office/2006/metadata/customXsn"/>
  </ds:schemaRefs>
</ds:datastoreItem>
</file>

<file path=customXml/itemProps3.xml><?xml version="1.0" encoding="utf-8"?>
<ds:datastoreItem xmlns:ds="http://schemas.openxmlformats.org/officeDocument/2006/customXml" ds:itemID="{30FB5B86-FC8F-4137-8EE3-800AA7A164FF}">
  <ds:schemaRefs>
    <ds:schemaRef ds:uri="http://schemas.microsoft.com/office/2006/metadata/properties"/>
    <ds:schemaRef ds:uri="http://schemas.microsoft.com/office/infopath/2007/PartnerControls"/>
    <ds:schemaRef ds:uri="a14523ce-dede-483e-883a-2d83261080bd"/>
  </ds:schemaRefs>
</ds:datastoreItem>
</file>

<file path=customXml/itemProps4.xml><?xml version="1.0" encoding="utf-8"?>
<ds:datastoreItem xmlns:ds="http://schemas.openxmlformats.org/officeDocument/2006/customXml" ds:itemID="{4DFB6D1C-4394-4289-8CF9-27458EA777D1}">
  <ds:schemaRefs>
    <ds:schemaRef ds:uri="Microsoft.SharePoint.Taxonomy.ContentTypeSync"/>
  </ds:schemaRefs>
</ds:datastoreItem>
</file>

<file path=customXml/itemProps5.xml><?xml version="1.0" encoding="utf-8"?>
<ds:datastoreItem xmlns:ds="http://schemas.openxmlformats.org/officeDocument/2006/customXml" ds:itemID="{09999C3A-BD07-4B65-851C-6D1C7B5BA975}">
  <ds:schemaRefs>
    <ds:schemaRef ds:uri="http://schemas.microsoft.com/sharepoint/v3/contenttype/forms"/>
  </ds:schemaRefs>
</ds:datastoreItem>
</file>

<file path=customXml/itemProps6.xml><?xml version="1.0" encoding="utf-8"?>
<ds:datastoreItem xmlns:ds="http://schemas.openxmlformats.org/officeDocument/2006/customXml" ds:itemID="{31D2544C-C1D8-4B6B-8975-15C095DBE75B}"/>
</file>

<file path=customXml/itemProps7.xml><?xml version="1.0" encoding="utf-8"?>
<ds:datastoreItem xmlns:ds="http://schemas.openxmlformats.org/officeDocument/2006/customXml" ds:itemID="{1C949350-1E22-4491-A4DD-1244CC97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12</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dc:description/>
  <cp:lastModifiedBy>James Lindley</cp:lastModifiedBy>
  <cp:revision>7</cp:revision>
  <cp:lastPrinted>2018-09-13T00:36:00Z</cp:lastPrinted>
  <dcterms:created xsi:type="dcterms:W3CDTF">2018-10-26T00:03:00Z</dcterms:created>
  <dcterms:modified xsi:type="dcterms:W3CDTF">2018-10-26T01:27:00Z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0x0101009BE89D58CAF0934CA32A20BCFFD353DC00241333E58EE49546AC4762B4B290A597</vt:lpwstr>
  </property>
  <property fmtid="{D5CDD505-2E9C-101B-9397-08002B2CF9AE}" pid="3" name="_dlc_DocIdItemGuid">
    <vt:lpwstr>e79e1f3b-6159-4abd-b562-3b9329f4e643</vt:lpwstr>
  </property>
  <property fmtid="{D5CDD505-2E9C-101B-9397-08002B2CF9AE}" pid="4" name="AEMODocumentType">
    <vt:lpwstr>1;#Operational Record|859762f2-4462-42eb-9744-c955c7e2c540</vt:lpwstr>
  </property>
  <property fmtid="{D5CDD505-2E9C-101B-9397-08002B2CF9AE}" pid="5" name="AEMOKeywords">
    <vt:lpwstr/>
  </property>
</Properties>
</file>