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orderlessTable"/>
        <w:tblW w:w="0" w:type="auto"/>
        <w:tblLook w:val="04A0" w:firstRow="1" w:lastRow="0" w:firstColumn="1" w:lastColumn="0" w:noHBand="0" w:noVBand="1"/>
      </w:tblPr>
      <w:tblGrid>
        <w:gridCol w:w="7668"/>
      </w:tblGrid>
      <w:tr w:rsidR="00E31575" w14:paraId="34860F5C" w14:textId="77777777" w:rsidTr="00E31575">
        <w:trPr>
          <w:cnfStyle w:val="100000000000" w:firstRow="1" w:lastRow="0" w:firstColumn="0" w:lastColumn="0" w:oddVBand="0" w:evenVBand="0" w:oddHBand="0" w:evenHBand="0" w:firstRowFirstColumn="0" w:firstRowLastColumn="0" w:lastRowFirstColumn="0" w:lastRowLastColumn="0"/>
          <w:trHeight w:val="10965"/>
        </w:trPr>
        <w:tc>
          <w:tcPr>
            <w:cnfStyle w:val="001000000000" w:firstRow="0" w:lastRow="0" w:firstColumn="1" w:lastColumn="0" w:oddVBand="0" w:evenVBand="0" w:oddHBand="0" w:evenHBand="0" w:firstRowFirstColumn="0" w:firstRowLastColumn="0" w:lastRowFirstColumn="0" w:lastRowLastColumn="0"/>
            <w:tcW w:w="7668" w:type="dxa"/>
            <w:vAlign w:val="bottom"/>
          </w:tcPr>
          <w:p w14:paraId="34860F5B" w14:textId="5AE2A6E9" w:rsidR="00E31575" w:rsidRDefault="00B67A87" w:rsidP="00514AFB">
            <w:pPr>
              <w:pStyle w:val="Cover-Title"/>
            </w:pPr>
            <w:r>
              <w:t>NEM Lack of Reserve Framework</w:t>
            </w:r>
            <w:r w:rsidR="00514AFB">
              <w:t xml:space="preserve"> Retraining</w:t>
            </w:r>
            <w:r>
              <w:t xml:space="preserve"> Report</w:t>
            </w:r>
          </w:p>
        </w:tc>
      </w:tr>
    </w:tbl>
    <w:p w14:paraId="34860F5D" w14:textId="77777777" w:rsidR="00E31575" w:rsidRDefault="00E31575" w:rsidP="00E31575">
      <w:pPr>
        <w:pStyle w:val="BodyText"/>
      </w:pPr>
    </w:p>
    <w:p w14:paraId="34860F5E" w14:textId="77777777" w:rsidR="004022C8" w:rsidRDefault="004022C8" w:rsidP="0097771C"/>
    <w:p w14:paraId="34860F5F" w14:textId="77777777" w:rsidR="00D95CF0" w:rsidRDefault="00D95CF0" w:rsidP="0097771C"/>
    <w:p w14:paraId="34860F60" w14:textId="06D8C427" w:rsidR="00CA7C11" w:rsidRDefault="004704FB" w:rsidP="0097771C">
      <w:sdt>
        <w:sdtPr>
          <w:rPr>
            <w:rStyle w:val="Cover-DateChar"/>
          </w:rPr>
          <w:id w:val="-7301465"/>
          <w:placeholder>
            <w:docPart w:val="576034FF1FD34D4A94CFCE9B7A295AEF"/>
          </w:placeholder>
          <w15:color w:val="C41230"/>
        </w:sdtPr>
        <w:sdtEndPr>
          <w:rPr>
            <w:rStyle w:val="Cover-DateChar"/>
          </w:rPr>
        </w:sdtEndPr>
        <w:sdtContent>
          <w:r w:rsidRPr="004704FB">
            <w:rPr>
              <w:rStyle w:val="Cover-DateChar"/>
            </w:rPr>
            <w:t>21</w:t>
          </w:r>
          <w:r w:rsidR="00514AFB" w:rsidRPr="004704FB">
            <w:rPr>
              <w:rStyle w:val="Cover-DateChar"/>
            </w:rPr>
            <w:t xml:space="preserve"> June</w:t>
          </w:r>
          <w:r w:rsidR="00B67A87" w:rsidRPr="004704FB">
            <w:rPr>
              <w:rStyle w:val="Cover-DateChar"/>
            </w:rPr>
            <w:t xml:space="preserve"> 2018</w:t>
          </w:r>
        </w:sdtContent>
      </w:sdt>
    </w:p>
    <w:p w14:paraId="34860F61" w14:textId="77777777" w:rsidR="00CA7C11" w:rsidRDefault="00CA7C11" w:rsidP="0097771C"/>
    <w:p w14:paraId="34860F62" w14:textId="77777777" w:rsidR="00E25C5D" w:rsidRDefault="00E25C5D" w:rsidP="0097771C"/>
    <w:sdt>
      <w:sdtPr>
        <w:rPr>
          <w:rStyle w:val="Cover-SubtitleChar"/>
          <w:szCs w:val="24"/>
        </w:rPr>
        <w:id w:val="1359925080"/>
        <w:lock w:val="sdtLocked"/>
        <w:placeholder>
          <w:docPart w:val="85550E7B51EC47C5A9A4E6E7B6AB59A9"/>
        </w:placeholder>
        <w15:color w:val="C41230"/>
      </w:sdtPr>
      <w:sdtEndPr>
        <w:rPr>
          <w:rStyle w:val="Cover-SubtitleChar"/>
          <w:color w:val="FFFFFF" w:themeColor="background1"/>
          <w:sz w:val="24"/>
          <w:szCs w:val="22"/>
        </w:rPr>
      </w:sdtEndPr>
      <w:sdtContent>
        <w:p w14:paraId="34860F64" w14:textId="0A136D3F" w:rsidR="00E25C5D" w:rsidRDefault="00B67A87" w:rsidP="00545192">
          <w:pPr>
            <w:pStyle w:val="Cover-Subtitle"/>
            <w:rPr>
              <w:rStyle w:val="Cover-SubtitleChar"/>
              <w:color w:val="FFFFFF" w:themeColor="background1"/>
              <w:sz w:val="24"/>
            </w:rPr>
          </w:pPr>
          <w:r w:rsidRPr="00B254B3">
            <w:rPr>
              <w:rStyle w:val="Cover-SubtitleChar"/>
              <w:sz w:val="40"/>
            </w:rPr>
            <w:t>Re</w:t>
          </w:r>
          <w:r w:rsidR="00514AFB">
            <w:rPr>
              <w:rStyle w:val="Cover-SubtitleChar"/>
              <w:sz w:val="40"/>
            </w:rPr>
            <w:t>training</w:t>
          </w:r>
          <w:r w:rsidRPr="00B254B3">
            <w:rPr>
              <w:rStyle w:val="Cover-SubtitleChar"/>
              <w:sz w:val="40"/>
            </w:rPr>
            <w:t xml:space="preserve"> </w:t>
          </w:r>
          <w:r w:rsidR="00545192">
            <w:rPr>
              <w:rStyle w:val="Cover-SubtitleChar"/>
              <w:sz w:val="40"/>
            </w:rPr>
            <w:t>to include data</w:t>
          </w:r>
          <w:r w:rsidRPr="00B254B3">
            <w:rPr>
              <w:rStyle w:val="Cover-SubtitleChar"/>
              <w:sz w:val="40"/>
            </w:rPr>
            <w:t xml:space="preserve"> </w:t>
          </w:r>
          <w:r w:rsidR="00514AFB">
            <w:rPr>
              <w:rStyle w:val="Cover-SubtitleChar"/>
              <w:sz w:val="40"/>
            </w:rPr>
            <w:t>up</w:t>
          </w:r>
          <w:r w:rsidRPr="00B254B3">
            <w:rPr>
              <w:rStyle w:val="Cover-SubtitleChar"/>
              <w:sz w:val="40"/>
            </w:rPr>
            <w:t xml:space="preserve"> to 31 March 2018</w:t>
          </w:r>
        </w:p>
      </w:sdtContent>
    </w:sdt>
    <w:p w14:paraId="34860F65" w14:textId="77777777" w:rsidR="00D102A8" w:rsidRDefault="00D102A8" w:rsidP="0097771C"/>
    <w:p w14:paraId="34860F66" w14:textId="77777777" w:rsidR="007A3778" w:rsidRDefault="007A3778" w:rsidP="0097771C">
      <w:pPr>
        <w:sectPr w:rsidR="007A3778" w:rsidSect="00962681">
          <w:footerReference w:type="default" r:id="rId14"/>
          <w:headerReference w:type="first" r:id="rId15"/>
          <w:pgSz w:w="11906" w:h="16838" w:code="9"/>
          <w:pgMar w:top="1701" w:right="1247" w:bottom="1134" w:left="1247" w:header="709" w:footer="709" w:gutter="0"/>
          <w:cols w:space="708"/>
          <w:titlePg/>
          <w:docGrid w:linePitch="360"/>
        </w:sectPr>
      </w:pPr>
    </w:p>
    <w:p w14:paraId="34860F67" w14:textId="77777777" w:rsidR="00D102A8" w:rsidRPr="00844FD9" w:rsidRDefault="00D102A8" w:rsidP="00803CAE">
      <w:pPr>
        <w:pStyle w:val="Heading-White"/>
      </w:pPr>
      <w:r w:rsidRPr="00844FD9">
        <w:lastRenderedPageBreak/>
        <w:t xml:space="preserve">Important </w:t>
      </w:r>
      <w:r w:rsidR="007A3778">
        <w:t>n</w:t>
      </w:r>
      <w:r w:rsidRPr="00844FD9">
        <w:t>otice</w:t>
      </w:r>
    </w:p>
    <w:p w14:paraId="34860F68" w14:textId="77777777" w:rsidR="00D102A8" w:rsidRPr="00E25C5D" w:rsidRDefault="00D102A8" w:rsidP="00E25C5D">
      <w:pPr>
        <w:pStyle w:val="ImportantNotice-Subheading"/>
      </w:pPr>
      <w:r w:rsidRPr="00E25C5D">
        <w:t>PURPOSE</w:t>
      </w:r>
    </w:p>
    <w:p w14:paraId="34860F69" w14:textId="7240C08E" w:rsidR="00D102A8" w:rsidRDefault="00B67A87" w:rsidP="007A3778">
      <w:pPr>
        <w:pStyle w:val="ImportantNotice-Body"/>
      </w:pPr>
      <w:r>
        <w:t xml:space="preserve">AEMO has prepared this document to report on the </w:t>
      </w:r>
      <w:r w:rsidR="00514AFB">
        <w:t>outcomes of retraining the Bayesian Belief Network which determines the Forecasting Uncertainty Measure as detailed in</w:t>
      </w:r>
      <w:r>
        <w:t xml:space="preserve"> the</w:t>
      </w:r>
      <w:r w:rsidR="00514AFB">
        <w:t xml:space="preserve"> NEM Lack of Reserve Framework</w:t>
      </w:r>
      <w:r>
        <w:t>.</w:t>
      </w:r>
    </w:p>
    <w:p w14:paraId="34860F6A" w14:textId="77777777" w:rsidR="00E25C5D" w:rsidRDefault="00E25C5D" w:rsidP="00E25C5D">
      <w:pPr>
        <w:pStyle w:val="ImportantNotice-Subheading"/>
      </w:pPr>
      <w:r w:rsidRPr="00E25C5D">
        <w:t>Disclaimer</w:t>
      </w:r>
    </w:p>
    <w:p w14:paraId="34860F6B" w14:textId="6806E068" w:rsidR="00B67A87" w:rsidRDefault="00B67A87" w:rsidP="00B67A87">
      <w:pPr>
        <w:pStyle w:val="ImportantNotice-Bullet"/>
        <w:numPr>
          <w:ilvl w:val="0"/>
          <w:numId w:val="0"/>
        </w:numPr>
      </w:pPr>
      <w:r>
        <w:t xml:space="preserve">This document or the information in it may be subsequently updated or amended. This document does not constitute legal or business advice, and should not be relied on as a substitute for obtaining detailed advice about the National Electricity Law, the National Electricity Rules, or any other applicable laws, procedures or policies. AEMO has made every </w:t>
      </w:r>
      <w:r w:rsidR="000D3C21">
        <w:t xml:space="preserve">reasonable </w:t>
      </w:r>
      <w:r>
        <w:t xml:space="preserve">effort to ensure the quality of the information in this document but cannot guarantee its accuracy or completeness.  </w:t>
      </w:r>
    </w:p>
    <w:p w14:paraId="34860F6C" w14:textId="77777777" w:rsidR="00B67A87" w:rsidRDefault="00B67A87" w:rsidP="00B67A87">
      <w:pPr>
        <w:pStyle w:val="ImportantNotice-Bullet"/>
        <w:numPr>
          <w:ilvl w:val="0"/>
          <w:numId w:val="0"/>
        </w:numPr>
      </w:pPr>
      <w:r>
        <w:t>Accordingly, to the maximum extent permitted by law, AEMO and its officers, employees and consultants involved in the preparation of this document:</w:t>
      </w:r>
    </w:p>
    <w:p w14:paraId="34860F6D" w14:textId="77777777" w:rsidR="00B67A87" w:rsidRDefault="00B67A87" w:rsidP="00B67A87">
      <w:pPr>
        <w:pStyle w:val="ImportantNotice-Bullet"/>
      </w:pPr>
      <w:r>
        <w:t>make no representation or warranty, express or implied, as to the currency, accuracy, reliability or completeness of the information in this document; and</w:t>
      </w:r>
    </w:p>
    <w:p w14:paraId="34860F6E" w14:textId="77777777" w:rsidR="00B67A87" w:rsidRPr="00E25C5D" w:rsidRDefault="00B67A87" w:rsidP="00B67A87">
      <w:pPr>
        <w:pStyle w:val="ImportantNotice-Bullet"/>
        <w:numPr>
          <w:ilvl w:val="0"/>
          <w:numId w:val="0"/>
        </w:numPr>
        <w:ind w:left="170" w:hanging="170"/>
      </w:pPr>
      <w:r>
        <w:t>•</w:t>
      </w:r>
      <w:r>
        <w:tab/>
        <w:t>are not liable (whether by reason of negligence or otherwise) for any statements or representations in this document, or any omissions from it, or for any use or reliance on the information in it.</w:t>
      </w:r>
    </w:p>
    <w:p w14:paraId="34860F6F" w14:textId="77777777" w:rsidR="00E25C5D" w:rsidRDefault="00E25C5D" w:rsidP="00E25C5D">
      <w:pPr>
        <w:pStyle w:val="ImportantNotice-Subheading"/>
      </w:pPr>
      <w:r>
        <w:t>Version Control</w:t>
      </w:r>
    </w:p>
    <w:tbl>
      <w:tblPr>
        <w:tblStyle w:val="TableGrid"/>
        <w:tblW w:w="0" w:type="auto"/>
        <w:tblBorders>
          <w:top w:val="none" w:sz="0" w:space="0" w:color="auto"/>
          <w:bottom w:val="none" w:sz="0" w:space="0" w:color="auto"/>
          <w:insideH w:val="none" w:sz="0" w:space="0" w:color="auto"/>
        </w:tblBorders>
        <w:tblCellMar>
          <w:right w:w="0" w:type="dxa"/>
        </w:tblCellMar>
        <w:tblLook w:val="04A0" w:firstRow="1" w:lastRow="0" w:firstColumn="1" w:lastColumn="0" w:noHBand="0" w:noVBand="1"/>
      </w:tblPr>
      <w:tblGrid>
        <w:gridCol w:w="1276"/>
        <w:gridCol w:w="2126"/>
        <w:gridCol w:w="6000"/>
      </w:tblGrid>
      <w:tr w:rsidR="00E25C5D" w14:paraId="34860F73" w14:textId="77777777" w:rsidTr="00E25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2" w:space="0" w:color="FFFFFF" w:themeColor="background1"/>
              <w:bottom w:val="single" w:sz="2" w:space="0" w:color="FFFFFF" w:themeColor="background1"/>
            </w:tcBorders>
            <w:tcMar>
              <w:top w:w="57" w:type="dxa"/>
              <w:bottom w:w="57" w:type="dxa"/>
            </w:tcMar>
          </w:tcPr>
          <w:p w14:paraId="34860F70" w14:textId="77777777" w:rsidR="00E25C5D" w:rsidRDefault="00E25C5D" w:rsidP="00E25C5D">
            <w:pPr>
              <w:pStyle w:val="ImportantNotice-Body"/>
            </w:pPr>
            <w:r>
              <w:t>Version</w:t>
            </w:r>
          </w:p>
        </w:tc>
        <w:tc>
          <w:tcPr>
            <w:tcW w:w="2126" w:type="dxa"/>
            <w:tcBorders>
              <w:top w:val="single" w:sz="2" w:space="0" w:color="FFFFFF" w:themeColor="background1"/>
              <w:bottom w:val="single" w:sz="2" w:space="0" w:color="FFFFFF" w:themeColor="background1"/>
            </w:tcBorders>
            <w:tcMar>
              <w:top w:w="57" w:type="dxa"/>
              <w:bottom w:w="57" w:type="dxa"/>
            </w:tcMar>
          </w:tcPr>
          <w:p w14:paraId="34860F71" w14:textId="77777777" w:rsidR="00E25C5D" w:rsidRDefault="00E25C5D" w:rsidP="00E25C5D">
            <w:pPr>
              <w:pStyle w:val="ImportantNotice-Body"/>
              <w:cnfStyle w:val="100000000000" w:firstRow="1" w:lastRow="0" w:firstColumn="0" w:lastColumn="0" w:oddVBand="0" w:evenVBand="0" w:oddHBand="0" w:evenHBand="0" w:firstRowFirstColumn="0" w:firstRowLastColumn="0" w:lastRowFirstColumn="0" w:lastRowLastColumn="0"/>
            </w:pPr>
            <w:r>
              <w:t>Release date</w:t>
            </w:r>
          </w:p>
        </w:tc>
        <w:tc>
          <w:tcPr>
            <w:tcW w:w="6000" w:type="dxa"/>
            <w:tcBorders>
              <w:top w:val="single" w:sz="2" w:space="0" w:color="FFFFFF" w:themeColor="background1"/>
              <w:bottom w:val="single" w:sz="2" w:space="0" w:color="FFFFFF" w:themeColor="background1"/>
            </w:tcBorders>
            <w:tcMar>
              <w:top w:w="57" w:type="dxa"/>
              <w:bottom w:w="57" w:type="dxa"/>
            </w:tcMar>
          </w:tcPr>
          <w:p w14:paraId="34860F72" w14:textId="77777777" w:rsidR="00E25C5D" w:rsidRDefault="00E25C5D" w:rsidP="00E25C5D">
            <w:pPr>
              <w:pStyle w:val="ImportantNotice-Body"/>
              <w:cnfStyle w:val="100000000000" w:firstRow="1" w:lastRow="0" w:firstColumn="0" w:lastColumn="0" w:oddVBand="0" w:evenVBand="0" w:oddHBand="0" w:evenHBand="0" w:firstRowFirstColumn="0" w:firstRowLastColumn="0" w:lastRowFirstColumn="0" w:lastRowLastColumn="0"/>
            </w:pPr>
            <w:r>
              <w:t>Changes</w:t>
            </w:r>
          </w:p>
        </w:tc>
      </w:tr>
      <w:tr w:rsidR="00E25C5D" w14:paraId="34860F77" w14:textId="77777777" w:rsidTr="00E25C5D">
        <w:tc>
          <w:tcPr>
            <w:cnfStyle w:val="001000000000" w:firstRow="0" w:lastRow="0" w:firstColumn="1" w:lastColumn="0" w:oddVBand="0" w:evenVBand="0" w:oddHBand="0" w:evenHBand="0" w:firstRowFirstColumn="0" w:firstRowLastColumn="0" w:lastRowFirstColumn="0" w:lastRowLastColumn="0"/>
            <w:tcW w:w="1276" w:type="dxa"/>
            <w:tcBorders>
              <w:top w:val="single" w:sz="2" w:space="0" w:color="FFFFFF" w:themeColor="background1"/>
            </w:tcBorders>
            <w:tcMar>
              <w:top w:w="57" w:type="dxa"/>
              <w:bottom w:w="57" w:type="dxa"/>
            </w:tcMar>
          </w:tcPr>
          <w:p w14:paraId="34860F74" w14:textId="77777777" w:rsidR="00E25C5D" w:rsidRDefault="00B67A87" w:rsidP="00E25C5D">
            <w:pPr>
              <w:pStyle w:val="ImportantNotice-Body"/>
            </w:pPr>
            <w:r>
              <w:t>1</w:t>
            </w:r>
          </w:p>
        </w:tc>
        <w:tc>
          <w:tcPr>
            <w:tcW w:w="2126" w:type="dxa"/>
            <w:tcBorders>
              <w:top w:val="single" w:sz="2" w:space="0" w:color="FFFFFF" w:themeColor="background1"/>
            </w:tcBorders>
            <w:tcMar>
              <w:top w:w="57" w:type="dxa"/>
              <w:bottom w:w="57" w:type="dxa"/>
            </w:tcMar>
          </w:tcPr>
          <w:p w14:paraId="34860F75" w14:textId="4760BD80" w:rsidR="00E25C5D" w:rsidRDefault="004704FB" w:rsidP="00514AFB">
            <w:pPr>
              <w:pStyle w:val="ImportantNotice-Body"/>
              <w:cnfStyle w:val="000000000000" w:firstRow="0" w:lastRow="0" w:firstColumn="0" w:lastColumn="0" w:oddVBand="0" w:evenVBand="0" w:oddHBand="0" w:evenHBand="0" w:firstRowFirstColumn="0" w:firstRowLastColumn="0" w:lastRowFirstColumn="0" w:lastRowLastColumn="0"/>
            </w:pPr>
            <w:r w:rsidRPr="004704FB">
              <w:t>21</w:t>
            </w:r>
            <w:r w:rsidR="00B67A87" w:rsidRPr="004704FB">
              <w:t>/</w:t>
            </w:r>
            <w:r w:rsidR="00B67A87">
              <w:t>0</w:t>
            </w:r>
            <w:r w:rsidR="00514AFB">
              <w:t>6</w:t>
            </w:r>
            <w:r w:rsidR="00B67A87">
              <w:t>/2018</w:t>
            </w:r>
          </w:p>
        </w:tc>
        <w:tc>
          <w:tcPr>
            <w:tcW w:w="6000" w:type="dxa"/>
            <w:tcBorders>
              <w:top w:val="single" w:sz="2" w:space="0" w:color="FFFFFF" w:themeColor="background1"/>
            </w:tcBorders>
            <w:tcMar>
              <w:top w:w="57" w:type="dxa"/>
              <w:bottom w:w="57" w:type="dxa"/>
            </w:tcMar>
          </w:tcPr>
          <w:p w14:paraId="34860F76" w14:textId="77777777" w:rsidR="00E25C5D" w:rsidRDefault="00B67A87" w:rsidP="00E25C5D">
            <w:pPr>
              <w:pStyle w:val="ImportantNotice-Body"/>
              <w:cnfStyle w:val="000000000000" w:firstRow="0" w:lastRow="0" w:firstColumn="0" w:lastColumn="0" w:oddVBand="0" w:evenVBand="0" w:oddHBand="0" w:evenHBand="0" w:firstRowFirstColumn="0" w:firstRowLastColumn="0" w:lastRowFirstColumn="0" w:lastRowLastColumn="0"/>
            </w:pPr>
            <w:r>
              <w:t>Initial version</w:t>
            </w:r>
          </w:p>
        </w:tc>
      </w:tr>
    </w:tbl>
    <w:p w14:paraId="34860F78" w14:textId="77777777" w:rsidR="00E25C5D" w:rsidRDefault="00E25C5D" w:rsidP="00E25C5D">
      <w:pPr>
        <w:pStyle w:val="ImportantNotice-Body"/>
      </w:pPr>
    </w:p>
    <w:p w14:paraId="34860F79" w14:textId="77777777" w:rsidR="00E25C5D" w:rsidRDefault="00E25C5D" w:rsidP="00E25C5D">
      <w:pPr>
        <w:pStyle w:val="ImportantNotice-Body"/>
      </w:pPr>
    </w:p>
    <w:p w14:paraId="34860F7A" w14:textId="77777777" w:rsidR="00E25C5D" w:rsidRDefault="00E25C5D" w:rsidP="00E25C5D">
      <w:pPr>
        <w:pStyle w:val="ImportantNotice-Body"/>
      </w:pPr>
    </w:p>
    <w:p w14:paraId="34860F7B" w14:textId="77777777" w:rsidR="00E25C5D" w:rsidRDefault="00E25C5D" w:rsidP="00E25C5D">
      <w:pPr>
        <w:pStyle w:val="ImportantNotice-Body"/>
      </w:pPr>
      <w:bookmarkStart w:id="0" w:name="_GoBack"/>
      <w:bookmarkEnd w:id="0"/>
    </w:p>
    <w:p w14:paraId="34860F7C" w14:textId="77777777" w:rsidR="00705D96" w:rsidRDefault="00705D96" w:rsidP="00E25C5D">
      <w:pPr>
        <w:pStyle w:val="ImportantNotice-Body"/>
      </w:pPr>
    </w:p>
    <w:p w14:paraId="34860F7D" w14:textId="77777777" w:rsidR="00705D96" w:rsidRDefault="00705D96" w:rsidP="00E25C5D">
      <w:pPr>
        <w:pStyle w:val="ImportantNotice-Body"/>
      </w:pPr>
    </w:p>
    <w:p w14:paraId="34860F7E" w14:textId="77777777" w:rsidR="00E25C5D" w:rsidRDefault="00E25C5D" w:rsidP="00E25C5D">
      <w:pPr>
        <w:pStyle w:val="ImportantNotice-Body"/>
      </w:pPr>
    </w:p>
    <w:p w14:paraId="34860F7F" w14:textId="77777777" w:rsidR="00E25C5D" w:rsidRDefault="00E25C5D" w:rsidP="00844FD9">
      <w:pPr>
        <w:pStyle w:val="ImportantNotice-Body"/>
      </w:pPr>
      <w:r w:rsidRPr="00E25C5D">
        <w:t xml:space="preserve">© </w:t>
      </w:r>
      <w:r w:rsidR="00BA63A4">
        <w:fldChar w:fldCharType="begin"/>
      </w:r>
      <w:r w:rsidR="00BA63A4">
        <w:instrText xml:space="preserve"> PRINTDATE  \@ "yyyy"  \* MERGEFORMAT </w:instrText>
      </w:r>
      <w:r w:rsidR="00BA63A4">
        <w:fldChar w:fldCharType="separate"/>
      </w:r>
      <w:r w:rsidR="008579CC">
        <w:rPr>
          <w:noProof/>
        </w:rPr>
        <w:t>2018</w:t>
      </w:r>
      <w:r w:rsidR="00BA63A4">
        <w:fldChar w:fldCharType="end"/>
      </w:r>
      <w:r w:rsidR="00BA63A4">
        <w:t xml:space="preserve"> </w:t>
      </w:r>
      <w:r w:rsidRPr="00E25C5D">
        <w:t xml:space="preserve">Australian Energy Market Operator Limited. The material in this publication may be used in accordance with the </w:t>
      </w:r>
      <w:hyperlink r:id="rId16" w:history="1">
        <w:r w:rsidRPr="00844FD9">
          <w:t>copyright permissions on AEMO’s website</w:t>
        </w:r>
      </w:hyperlink>
      <w:r w:rsidRPr="00E25C5D">
        <w:t>.</w:t>
      </w:r>
    </w:p>
    <w:p w14:paraId="34860F80" w14:textId="77777777" w:rsidR="000863F7" w:rsidRDefault="000863F7" w:rsidP="00844FD9">
      <w:pPr>
        <w:pStyle w:val="ImportantNotice-Body"/>
      </w:pPr>
    </w:p>
    <w:p w14:paraId="34860F81" w14:textId="77777777" w:rsidR="000863F7" w:rsidRDefault="000863F7" w:rsidP="00844FD9">
      <w:pPr>
        <w:pStyle w:val="ImportantNotice-Body"/>
        <w:sectPr w:rsidR="000863F7" w:rsidSect="00962681">
          <w:headerReference w:type="first" r:id="rId17"/>
          <w:pgSz w:w="11906" w:h="16838" w:code="9"/>
          <w:pgMar w:top="1701" w:right="1247" w:bottom="1134" w:left="1247" w:header="709" w:footer="709" w:gutter="0"/>
          <w:cols w:space="708"/>
          <w:titlePg/>
          <w:docGrid w:linePitch="360"/>
        </w:sectPr>
      </w:pPr>
    </w:p>
    <w:p w14:paraId="34860F82" w14:textId="41419F2B" w:rsidR="00844FD9" w:rsidRDefault="00844FD9" w:rsidP="00803CAE">
      <w:pPr>
        <w:pStyle w:val="Heading-NoNumber"/>
      </w:pPr>
      <w:bookmarkStart w:id="1" w:name="_Toc499732731"/>
      <w:bookmarkStart w:id="2" w:name="_Toc515978783"/>
      <w:r w:rsidRPr="00D619CE">
        <w:lastRenderedPageBreak/>
        <w:t xml:space="preserve">Executive </w:t>
      </w:r>
      <w:r w:rsidR="00A94F88">
        <w:t>s</w:t>
      </w:r>
      <w:r w:rsidRPr="00803CAE">
        <w:t>ummary</w:t>
      </w:r>
      <w:bookmarkEnd w:id="1"/>
      <w:bookmarkEnd w:id="2"/>
    </w:p>
    <w:p w14:paraId="58129F53" w14:textId="4307A5D2" w:rsidR="0045231C" w:rsidRDefault="00A94F88" w:rsidP="00C24A05">
      <w:pPr>
        <w:pStyle w:val="BodyText"/>
        <w:rPr>
          <w:lang w:val="en-GB"/>
        </w:rPr>
      </w:pPr>
      <w:r w:rsidRPr="00B67A87">
        <w:rPr>
          <w:lang w:val="en-GB"/>
        </w:rPr>
        <w:t>This report has been published</w:t>
      </w:r>
      <w:r w:rsidR="00DF1826">
        <w:rPr>
          <w:lang w:val="en-GB"/>
        </w:rPr>
        <w:t xml:space="preserve"> in accordance with the first NEM Lack of Reserve Framework Report published on 30 April 2018</w:t>
      </w:r>
      <w:r w:rsidR="00DF1826">
        <w:rPr>
          <w:rStyle w:val="FootnoteReference"/>
          <w:lang w:val="en-GB"/>
        </w:rPr>
        <w:footnoteReference w:id="1"/>
      </w:r>
      <w:r w:rsidR="00DF1826">
        <w:rPr>
          <w:lang w:val="en-GB"/>
        </w:rPr>
        <w:t>, which stated that AEMO will publish a report following retraining of the Bayesian Belief Network. This report summarises</w:t>
      </w:r>
      <w:r w:rsidR="00EF11C8">
        <w:rPr>
          <w:lang w:val="en-GB"/>
        </w:rPr>
        <w:t xml:space="preserve"> the outcomes following the retraining of the Bayesian Belief Network to include data up to and including 31 March 2018</w:t>
      </w:r>
      <w:r w:rsidRPr="00B67A87">
        <w:rPr>
          <w:lang w:val="en-GB"/>
        </w:rPr>
        <w:t xml:space="preserve">. </w:t>
      </w:r>
    </w:p>
    <w:p w14:paraId="4DA1B750" w14:textId="46A7270D" w:rsidR="00EF11C8" w:rsidRDefault="005A1023" w:rsidP="00C24A05">
      <w:pPr>
        <w:pStyle w:val="BodyText"/>
        <w:rPr>
          <w:lang w:val="en-GB"/>
        </w:rPr>
      </w:pPr>
      <w:r>
        <w:rPr>
          <w:lang w:val="en-GB"/>
        </w:rPr>
        <w:t xml:space="preserve">The retrained Bayesian Belief Network was implemented on </w:t>
      </w:r>
      <w:r w:rsidR="00C8094C">
        <w:rPr>
          <w:lang w:val="en-GB"/>
        </w:rPr>
        <w:t>13</w:t>
      </w:r>
      <w:r>
        <w:rPr>
          <w:lang w:val="en-GB"/>
        </w:rPr>
        <w:t xml:space="preserve"> June 2018.</w:t>
      </w:r>
    </w:p>
    <w:p w14:paraId="54E8453C" w14:textId="2E8415CD" w:rsidR="0043462F" w:rsidRDefault="0043462F" w:rsidP="0043462F">
      <w:pPr>
        <w:pStyle w:val="BodyText"/>
        <w:rPr>
          <w:lang w:val="en-GB"/>
        </w:rPr>
      </w:pPr>
      <w:r>
        <w:rPr>
          <w:lang w:val="en-GB"/>
        </w:rPr>
        <w:t xml:space="preserve">Changes to future </w:t>
      </w:r>
      <w:r w:rsidR="00B3407D">
        <w:rPr>
          <w:lang w:val="en-GB"/>
        </w:rPr>
        <w:t>Forecast Uncertainty Measure (</w:t>
      </w:r>
      <w:r>
        <w:rPr>
          <w:lang w:val="en-GB"/>
        </w:rPr>
        <w:t>FUM</w:t>
      </w:r>
      <w:r w:rsidR="00B3407D">
        <w:rPr>
          <w:lang w:val="en-GB"/>
        </w:rPr>
        <w:t>)</w:t>
      </w:r>
      <w:r>
        <w:rPr>
          <w:lang w:val="en-GB"/>
        </w:rPr>
        <w:t xml:space="preserve"> values can be expected due to the retrained BBN as follows:</w:t>
      </w:r>
    </w:p>
    <w:p w14:paraId="6DB4E629" w14:textId="77777777" w:rsidR="0043462F" w:rsidRDefault="0043462F" w:rsidP="0088683A">
      <w:pPr>
        <w:pStyle w:val="BodyText"/>
        <w:numPr>
          <w:ilvl w:val="0"/>
          <w:numId w:val="19"/>
        </w:numPr>
        <w:rPr>
          <w:lang w:val="en-GB"/>
        </w:rPr>
      </w:pPr>
      <w:r>
        <w:rPr>
          <w:lang w:val="en-GB"/>
        </w:rPr>
        <w:t>NSW – increase to FUM values in the near term (0 to 8 hours ahead), decrease to FUM values from 24 hours ahead to 60 hours ahead.</w:t>
      </w:r>
    </w:p>
    <w:p w14:paraId="4FEEAB27" w14:textId="235B8B65" w:rsidR="0043462F" w:rsidRDefault="000E4B65" w:rsidP="0088683A">
      <w:pPr>
        <w:pStyle w:val="BodyText"/>
        <w:numPr>
          <w:ilvl w:val="0"/>
          <w:numId w:val="19"/>
        </w:numPr>
        <w:rPr>
          <w:lang w:val="en-GB"/>
        </w:rPr>
      </w:pPr>
      <w:r>
        <w:rPr>
          <w:lang w:val="en-GB"/>
        </w:rPr>
        <w:t>Queensland</w:t>
      </w:r>
      <w:r w:rsidR="0043462F">
        <w:rPr>
          <w:lang w:val="en-GB"/>
        </w:rPr>
        <w:t xml:space="preserve"> – immaterial changes to most forecasting horizons, with the exception of a decrease to FUM values at 48 hours ahead.</w:t>
      </w:r>
    </w:p>
    <w:p w14:paraId="1228E58A" w14:textId="23FA3E37" w:rsidR="0043462F" w:rsidRDefault="000E4B65" w:rsidP="0088683A">
      <w:pPr>
        <w:pStyle w:val="BodyText"/>
        <w:numPr>
          <w:ilvl w:val="0"/>
          <w:numId w:val="19"/>
        </w:numPr>
        <w:rPr>
          <w:lang w:val="en-GB"/>
        </w:rPr>
      </w:pPr>
      <w:r>
        <w:rPr>
          <w:lang w:val="en-GB"/>
        </w:rPr>
        <w:t>South Australia</w:t>
      </w:r>
      <w:r w:rsidR="0043462F">
        <w:rPr>
          <w:lang w:val="en-GB"/>
        </w:rPr>
        <w:t xml:space="preserve"> – decrease to FUM values for all forecasting horizons.</w:t>
      </w:r>
    </w:p>
    <w:p w14:paraId="45FAA7F7" w14:textId="542736F8" w:rsidR="0043462F" w:rsidRDefault="000E4B65" w:rsidP="0088683A">
      <w:pPr>
        <w:pStyle w:val="BodyText"/>
        <w:numPr>
          <w:ilvl w:val="0"/>
          <w:numId w:val="19"/>
        </w:numPr>
        <w:rPr>
          <w:lang w:val="en-GB"/>
        </w:rPr>
      </w:pPr>
      <w:r>
        <w:rPr>
          <w:lang w:val="en-GB"/>
        </w:rPr>
        <w:t>Tasmania</w:t>
      </w:r>
      <w:r w:rsidR="0043462F">
        <w:rPr>
          <w:lang w:val="en-GB"/>
        </w:rPr>
        <w:t xml:space="preserve"> – immaterial changes to all forecasting horizons.</w:t>
      </w:r>
    </w:p>
    <w:p w14:paraId="3C0A777D" w14:textId="3A49AA6B" w:rsidR="0043462F" w:rsidRDefault="000E4B65" w:rsidP="0088683A">
      <w:pPr>
        <w:pStyle w:val="BodyText"/>
        <w:numPr>
          <w:ilvl w:val="0"/>
          <w:numId w:val="19"/>
        </w:numPr>
        <w:rPr>
          <w:lang w:val="en-GB"/>
        </w:rPr>
      </w:pPr>
      <w:r>
        <w:rPr>
          <w:lang w:val="en-GB"/>
        </w:rPr>
        <w:t xml:space="preserve">Victoria </w:t>
      </w:r>
      <w:r w:rsidR="0043462F">
        <w:rPr>
          <w:lang w:val="en-GB"/>
        </w:rPr>
        <w:t>– decrease to FUM values for all forecasting horizons.</w:t>
      </w:r>
    </w:p>
    <w:p w14:paraId="384CB2D6" w14:textId="40E0D466" w:rsidR="00492581" w:rsidRDefault="00492581" w:rsidP="00E5662C">
      <w:pPr>
        <w:pStyle w:val="BodyText"/>
        <w:rPr>
          <w:lang w:val="en-GB"/>
        </w:rPr>
      </w:pPr>
      <w:r>
        <w:t xml:space="preserve">The near-term NSW increases noted in this analysis were caused by small sample sizes due to </w:t>
      </w:r>
      <w:r w:rsidR="00AA016B">
        <w:t xml:space="preserve">a </w:t>
      </w:r>
      <w:r>
        <w:t xml:space="preserve">combination of cold temperatures and moderate to high intermittent generation during the week that this new BBN model was compared to the initial model. </w:t>
      </w:r>
    </w:p>
    <w:p w14:paraId="5125BFEA" w14:textId="2C39C38D" w:rsidR="0043462F" w:rsidRDefault="0043462F" w:rsidP="0043462F">
      <w:pPr>
        <w:pStyle w:val="BodyText"/>
        <w:rPr>
          <w:lang w:val="en-GB"/>
        </w:rPr>
      </w:pPr>
      <w:r>
        <w:rPr>
          <w:lang w:val="en-GB"/>
        </w:rPr>
        <w:t>The results from retraining are consistent with the ongoing effort to improve forecasting system accuracy at AEMO.</w:t>
      </w:r>
    </w:p>
    <w:p w14:paraId="60D831A7" w14:textId="3C966E00" w:rsidR="00F56CAA" w:rsidRDefault="00F56CAA" w:rsidP="0043462F">
      <w:pPr>
        <w:pStyle w:val="BodyText"/>
        <w:rPr>
          <w:lang w:val="en-GB"/>
        </w:rPr>
      </w:pPr>
      <w:r w:rsidRPr="00E5662C">
        <w:rPr>
          <w:lang w:val="en-GB"/>
        </w:rPr>
        <w:t>Subsequent reporting on the periodic retraining of the Bayesian Belief Network will be incorporated into the on-going quarterly NEM Lack of Reserve Framework Reports.</w:t>
      </w:r>
      <w:r>
        <w:rPr>
          <w:lang w:val="en-GB"/>
        </w:rPr>
        <w:t xml:space="preserve"> </w:t>
      </w:r>
    </w:p>
    <w:p w14:paraId="529C4C3E" w14:textId="77777777" w:rsidR="0043462F" w:rsidRDefault="0043462F" w:rsidP="0043462F">
      <w:pPr>
        <w:pStyle w:val="BodyText"/>
        <w:rPr>
          <w:lang w:val="en-GB"/>
        </w:rPr>
      </w:pPr>
    </w:p>
    <w:p w14:paraId="5DEC7F9B" w14:textId="77777777" w:rsidR="0043462F" w:rsidRDefault="0043462F" w:rsidP="00C24A05">
      <w:pPr>
        <w:pStyle w:val="BodyText"/>
        <w:rPr>
          <w:lang w:val="en-GB"/>
        </w:rPr>
      </w:pPr>
    </w:p>
    <w:p w14:paraId="34860F8C" w14:textId="77777777" w:rsidR="000863F7" w:rsidRDefault="000863F7"/>
    <w:p w14:paraId="34860F8D" w14:textId="77777777" w:rsidR="00BA63A4" w:rsidRDefault="00BA63A4" w:rsidP="00BA63A4">
      <w:pPr>
        <w:pStyle w:val="BodyText"/>
      </w:pPr>
    </w:p>
    <w:sdt>
      <w:sdtPr>
        <w:rPr>
          <w:rFonts w:asciiTheme="minorHAnsi" w:eastAsiaTheme="minorEastAsia" w:hAnsiTheme="minorHAnsi" w:cs="Arial Unicode MS"/>
          <w:b w:val="0"/>
          <w:bCs/>
          <w:color w:val="222324" w:themeColor="text1"/>
          <w:kern w:val="0"/>
          <w:sz w:val="20"/>
          <w:szCs w:val="20"/>
          <w14:textFill>
            <w14:solidFill>
              <w14:schemeClr w14:val="tx1"/>
            </w14:solidFill>
          </w14:textFill>
        </w:rPr>
        <w:id w:val="-1812016204"/>
        <w:docPartObj>
          <w:docPartGallery w:val="Table of Contents"/>
          <w:docPartUnique/>
        </w:docPartObj>
      </w:sdtPr>
      <w:sdtEndPr>
        <w:rPr>
          <w:noProof/>
        </w:rPr>
      </w:sdtEndPr>
      <w:sdtContent>
        <w:p w14:paraId="34860F8E" w14:textId="77777777" w:rsidR="005C6F7E" w:rsidRDefault="005C6F7E" w:rsidP="003C4E0A">
          <w:pPr>
            <w:pStyle w:val="TOCHeading"/>
            <w:pageBreakBefore/>
          </w:pPr>
          <w:r>
            <w:t>Contents</w:t>
          </w:r>
        </w:p>
        <w:p w14:paraId="01578F71" w14:textId="77777777" w:rsidR="00BE4CD4" w:rsidRDefault="00837E75">
          <w:pPr>
            <w:pStyle w:val="TOC3"/>
            <w:rPr>
              <w:rFonts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15978783" w:history="1">
            <w:r w:rsidR="00BE4CD4" w:rsidRPr="00FB49C5">
              <w:rPr>
                <w:rStyle w:val="Hyperlink"/>
                <w:noProof/>
              </w:rPr>
              <w:t>Executive summary</w:t>
            </w:r>
            <w:r w:rsidR="00BE4CD4">
              <w:rPr>
                <w:noProof/>
                <w:webHidden/>
              </w:rPr>
              <w:tab/>
            </w:r>
            <w:r w:rsidR="00BE4CD4">
              <w:rPr>
                <w:noProof/>
                <w:webHidden/>
              </w:rPr>
              <w:fldChar w:fldCharType="begin"/>
            </w:r>
            <w:r w:rsidR="00BE4CD4">
              <w:rPr>
                <w:noProof/>
                <w:webHidden/>
              </w:rPr>
              <w:instrText xml:space="preserve"> PAGEREF _Toc515978783 \h </w:instrText>
            </w:r>
            <w:r w:rsidR="00BE4CD4">
              <w:rPr>
                <w:noProof/>
                <w:webHidden/>
              </w:rPr>
            </w:r>
            <w:r w:rsidR="00BE4CD4">
              <w:rPr>
                <w:noProof/>
                <w:webHidden/>
              </w:rPr>
              <w:fldChar w:fldCharType="separate"/>
            </w:r>
            <w:r w:rsidR="00BE4CD4">
              <w:rPr>
                <w:noProof/>
                <w:webHidden/>
              </w:rPr>
              <w:t>3</w:t>
            </w:r>
            <w:r w:rsidR="00BE4CD4">
              <w:rPr>
                <w:noProof/>
                <w:webHidden/>
              </w:rPr>
              <w:fldChar w:fldCharType="end"/>
            </w:r>
          </w:hyperlink>
        </w:p>
        <w:p w14:paraId="1726A411" w14:textId="77777777" w:rsidR="00BE4CD4" w:rsidRDefault="004704FB">
          <w:pPr>
            <w:pStyle w:val="TOC1"/>
            <w:rPr>
              <w:rFonts w:asciiTheme="minorHAnsi" w:eastAsiaTheme="minorEastAsia" w:hAnsiTheme="minorHAnsi" w:cstheme="minorBidi"/>
              <w:b w:val="0"/>
              <w:bCs w:val="0"/>
              <w:sz w:val="22"/>
              <w:szCs w:val="22"/>
              <w:lang w:val="en-AU" w:eastAsia="en-AU"/>
            </w:rPr>
          </w:pPr>
          <w:hyperlink w:anchor="_Toc515978784" w:history="1">
            <w:r w:rsidR="00BE4CD4" w:rsidRPr="00FB49C5">
              <w:rPr>
                <w:rStyle w:val="Hyperlink"/>
              </w:rPr>
              <w:t>1.</w:t>
            </w:r>
            <w:r w:rsidR="00BE4CD4">
              <w:rPr>
                <w:rFonts w:asciiTheme="minorHAnsi" w:eastAsiaTheme="minorEastAsia" w:hAnsiTheme="minorHAnsi" w:cstheme="minorBidi"/>
                <w:b w:val="0"/>
                <w:bCs w:val="0"/>
                <w:sz w:val="22"/>
                <w:szCs w:val="22"/>
                <w:lang w:val="en-AU" w:eastAsia="en-AU"/>
              </w:rPr>
              <w:tab/>
            </w:r>
            <w:r w:rsidR="00BE4CD4" w:rsidRPr="00FB49C5">
              <w:rPr>
                <w:rStyle w:val="Hyperlink"/>
              </w:rPr>
              <w:t>Introduction</w:t>
            </w:r>
            <w:r w:rsidR="00BE4CD4">
              <w:rPr>
                <w:webHidden/>
              </w:rPr>
              <w:tab/>
            </w:r>
            <w:r w:rsidR="00BE4CD4">
              <w:rPr>
                <w:webHidden/>
              </w:rPr>
              <w:fldChar w:fldCharType="begin"/>
            </w:r>
            <w:r w:rsidR="00BE4CD4">
              <w:rPr>
                <w:webHidden/>
              </w:rPr>
              <w:instrText xml:space="preserve"> PAGEREF _Toc515978784 \h </w:instrText>
            </w:r>
            <w:r w:rsidR="00BE4CD4">
              <w:rPr>
                <w:webHidden/>
              </w:rPr>
            </w:r>
            <w:r w:rsidR="00BE4CD4">
              <w:rPr>
                <w:webHidden/>
              </w:rPr>
              <w:fldChar w:fldCharType="separate"/>
            </w:r>
            <w:r w:rsidR="00BE4CD4">
              <w:rPr>
                <w:webHidden/>
              </w:rPr>
              <w:t>5</w:t>
            </w:r>
            <w:r w:rsidR="00BE4CD4">
              <w:rPr>
                <w:webHidden/>
              </w:rPr>
              <w:fldChar w:fldCharType="end"/>
            </w:r>
          </w:hyperlink>
        </w:p>
        <w:p w14:paraId="4070D4A1" w14:textId="77777777" w:rsidR="00BE4CD4" w:rsidRDefault="004704FB">
          <w:pPr>
            <w:pStyle w:val="TOC1"/>
            <w:rPr>
              <w:rFonts w:asciiTheme="minorHAnsi" w:eastAsiaTheme="minorEastAsia" w:hAnsiTheme="minorHAnsi" w:cstheme="minorBidi"/>
              <w:b w:val="0"/>
              <w:bCs w:val="0"/>
              <w:sz w:val="22"/>
              <w:szCs w:val="22"/>
              <w:lang w:val="en-AU" w:eastAsia="en-AU"/>
            </w:rPr>
          </w:pPr>
          <w:hyperlink w:anchor="_Toc515978785" w:history="1">
            <w:r w:rsidR="00BE4CD4" w:rsidRPr="00FB49C5">
              <w:rPr>
                <w:rStyle w:val="Hyperlink"/>
                <w:lang w:val="en-GB"/>
              </w:rPr>
              <w:t>2.</w:t>
            </w:r>
            <w:r w:rsidR="00BE4CD4">
              <w:rPr>
                <w:rFonts w:asciiTheme="minorHAnsi" w:eastAsiaTheme="minorEastAsia" w:hAnsiTheme="minorHAnsi" w:cstheme="minorBidi"/>
                <w:b w:val="0"/>
                <w:bCs w:val="0"/>
                <w:sz w:val="22"/>
                <w:szCs w:val="22"/>
                <w:lang w:val="en-AU" w:eastAsia="en-AU"/>
              </w:rPr>
              <w:tab/>
            </w:r>
            <w:r w:rsidR="00BE4CD4" w:rsidRPr="00FB49C5">
              <w:rPr>
                <w:rStyle w:val="Hyperlink"/>
                <w:lang w:val="en-GB"/>
              </w:rPr>
              <w:t>Retraining of the Bayesian Belief Network</w:t>
            </w:r>
            <w:r w:rsidR="00BE4CD4">
              <w:rPr>
                <w:webHidden/>
              </w:rPr>
              <w:tab/>
            </w:r>
            <w:r w:rsidR="00BE4CD4">
              <w:rPr>
                <w:webHidden/>
              </w:rPr>
              <w:fldChar w:fldCharType="begin"/>
            </w:r>
            <w:r w:rsidR="00BE4CD4">
              <w:rPr>
                <w:webHidden/>
              </w:rPr>
              <w:instrText xml:space="preserve"> PAGEREF _Toc515978785 \h </w:instrText>
            </w:r>
            <w:r w:rsidR="00BE4CD4">
              <w:rPr>
                <w:webHidden/>
              </w:rPr>
            </w:r>
            <w:r w:rsidR="00BE4CD4">
              <w:rPr>
                <w:webHidden/>
              </w:rPr>
              <w:fldChar w:fldCharType="separate"/>
            </w:r>
            <w:r w:rsidR="00BE4CD4">
              <w:rPr>
                <w:webHidden/>
              </w:rPr>
              <w:t>6</w:t>
            </w:r>
            <w:r w:rsidR="00BE4CD4">
              <w:rPr>
                <w:webHidden/>
              </w:rPr>
              <w:fldChar w:fldCharType="end"/>
            </w:r>
          </w:hyperlink>
        </w:p>
        <w:p w14:paraId="4399E929" w14:textId="77777777" w:rsidR="00BE4CD4" w:rsidRDefault="004704FB">
          <w:pPr>
            <w:pStyle w:val="TOC1"/>
            <w:rPr>
              <w:rFonts w:asciiTheme="minorHAnsi" w:eastAsiaTheme="minorEastAsia" w:hAnsiTheme="minorHAnsi" w:cstheme="minorBidi"/>
              <w:b w:val="0"/>
              <w:bCs w:val="0"/>
              <w:sz w:val="22"/>
              <w:szCs w:val="22"/>
              <w:lang w:val="en-AU" w:eastAsia="en-AU"/>
            </w:rPr>
          </w:pPr>
          <w:hyperlink w:anchor="_Toc515978786" w:history="1">
            <w:r w:rsidR="00BE4CD4" w:rsidRPr="00FB49C5">
              <w:rPr>
                <w:rStyle w:val="Hyperlink"/>
                <w:lang w:val="en-GB"/>
              </w:rPr>
              <w:t>3.</w:t>
            </w:r>
            <w:r w:rsidR="00BE4CD4">
              <w:rPr>
                <w:rFonts w:asciiTheme="minorHAnsi" w:eastAsiaTheme="minorEastAsia" w:hAnsiTheme="minorHAnsi" w:cstheme="minorBidi"/>
                <w:b w:val="0"/>
                <w:bCs w:val="0"/>
                <w:sz w:val="22"/>
                <w:szCs w:val="22"/>
                <w:lang w:val="en-AU" w:eastAsia="en-AU"/>
              </w:rPr>
              <w:tab/>
            </w:r>
            <w:r w:rsidR="00BE4CD4" w:rsidRPr="00FB49C5">
              <w:rPr>
                <w:rStyle w:val="Hyperlink"/>
                <w:lang w:val="en-GB"/>
              </w:rPr>
              <w:t>Summary of outcomes from retraining</w:t>
            </w:r>
            <w:r w:rsidR="00BE4CD4">
              <w:rPr>
                <w:webHidden/>
              </w:rPr>
              <w:tab/>
            </w:r>
            <w:r w:rsidR="00BE4CD4">
              <w:rPr>
                <w:webHidden/>
              </w:rPr>
              <w:fldChar w:fldCharType="begin"/>
            </w:r>
            <w:r w:rsidR="00BE4CD4">
              <w:rPr>
                <w:webHidden/>
              </w:rPr>
              <w:instrText xml:space="preserve"> PAGEREF _Toc515978786 \h </w:instrText>
            </w:r>
            <w:r w:rsidR="00BE4CD4">
              <w:rPr>
                <w:webHidden/>
              </w:rPr>
            </w:r>
            <w:r w:rsidR="00BE4CD4">
              <w:rPr>
                <w:webHidden/>
              </w:rPr>
              <w:fldChar w:fldCharType="separate"/>
            </w:r>
            <w:r w:rsidR="00BE4CD4">
              <w:rPr>
                <w:webHidden/>
              </w:rPr>
              <w:t>7</w:t>
            </w:r>
            <w:r w:rsidR="00BE4CD4">
              <w:rPr>
                <w:webHidden/>
              </w:rPr>
              <w:fldChar w:fldCharType="end"/>
            </w:r>
          </w:hyperlink>
        </w:p>
        <w:p w14:paraId="34860F97" w14:textId="77777777" w:rsidR="005C6F7E" w:rsidRDefault="00837E75">
          <w:r>
            <w:rPr>
              <w:rFonts w:asciiTheme="majorHAnsi" w:eastAsiaTheme="majorEastAsia" w:hAnsiTheme="majorHAnsi" w:cs="Times New Roman"/>
              <w:b/>
              <w:noProof/>
              <w:color w:val="auto"/>
              <w:szCs w:val="24"/>
              <w:lang w:val="en-US" w:eastAsia="en-US"/>
            </w:rPr>
            <w:fldChar w:fldCharType="end"/>
          </w:r>
        </w:p>
      </w:sdtContent>
    </w:sdt>
    <w:p w14:paraId="34860F98" w14:textId="77777777" w:rsidR="005C6F7E" w:rsidRDefault="005C6F7E" w:rsidP="00FF75D6">
      <w:pPr>
        <w:pStyle w:val="BodyText"/>
      </w:pPr>
    </w:p>
    <w:p w14:paraId="34860F99" w14:textId="77777777" w:rsidR="001C605F" w:rsidRDefault="001C605F" w:rsidP="00837E75">
      <w:pPr>
        <w:pStyle w:val="BodyText"/>
      </w:pPr>
    </w:p>
    <w:p w14:paraId="34860F9A" w14:textId="77777777" w:rsidR="0092762D" w:rsidRDefault="0092762D" w:rsidP="00FF75D6">
      <w:pPr>
        <w:pStyle w:val="BodyText"/>
      </w:pPr>
    </w:p>
    <w:p w14:paraId="34860F9B" w14:textId="77777777" w:rsidR="0092762D" w:rsidRDefault="0092762D" w:rsidP="00975DBB">
      <w:pPr>
        <w:pStyle w:val="BodyText"/>
      </w:pPr>
    </w:p>
    <w:p w14:paraId="34860F9C" w14:textId="77777777" w:rsidR="00975DBB" w:rsidRPr="00975DBB" w:rsidRDefault="00975DBB" w:rsidP="00975DBB">
      <w:pPr>
        <w:pStyle w:val="BodyText"/>
        <w:rPr>
          <w:rStyle w:val="HyperlinkWhite"/>
          <w:color w:val="222324" w:themeColor="text1"/>
          <w:u w:val="none"/>
        </w:rPr>
      </w:pPr>
    </w:p>
    <w:p w14:paraId="34860F9D" w14:textId="77777777" w:rsidR="000E45AB" w:rsidRDefault="00B67A87" w:rsidP="00E21021">
      <w:pPr>
        <w:pStyle w:val="Heading1"/>
      </w:pPr>
      <w:bookmarkStart w:id="3" w:name="_Toc515978784"/>
      <w:r>
        <w:lastRenderedPageBreak/>
        <w:t>Introduction</w:t>
      </w:r>
      <w:bookmarkEnd w:id="3"/>
    </w:p>
    <w:p w14:paraId="0618050E" w14:textId="643F2A4F" w:rsidR="00EF11C8" w:rsidRDefault="008A53CD" w:rsidP="005C1A15">
      <w:pPr>
        <w:pStyle w:val="BodyText"/>
        <w:rPr>
          <w:lang w:val="en-GB"/>
        </w:rPr>
      </w:pPr>
      <w:r w:rsidRPr="008A53CD">
        <w:rPr>
          <w:lang w:val="en-GB"/>
        </w:rPr>
        <w:t>This report has been published</w:t>
      </w:r>
      <w:r w:rsidR="00EF11C8">
        <w:rPr>
          <w:lang w:val="en-GB"/>
        </w:rPr>
        <w:t xml:space="preserve"> to inform the market about the outcomes following the retraining of the Bayesian Belief Network to include data up to and including 31 March 2018.</w:t>
      </w:r>
      <w:r w:rsidR="0085131F">
        <w:rPr>
          <w:lang w:val="en-GB"/>
        </w:rPr>
        <w:t xml:space="preserve"> The retrained Bayesian Belief Network was implemented on </w:t>
      </w:r>
      <w:r w:rsidR="00C8094C">
        <w:rPr>
          <w:lang w:val="en-GB"/>
        </w:rPr>
        <w:t>13</w:t>
      </w:r>
      <w:r w:rsidR="0085131F">
        <w:rPr>
          <w:lang w:val="en-GB"/>
        </w:rPr>
        <w:t xml:space="preserve"> June 2018.</w:t>
      </w:r>
    </w:p>
    <w:p w14:paraId="545CD0CD" w14:textId="2CE2C722" w:rsidR="005C710B" w:rsidRDefault="005C710B" w:rsidP="005C710B">
      <w:pPr>
        <w:pStyle w:val="BodyText"/>
        <w:rPr>
          <w:lang w:val="en-GB"/>
        </w:rPr>
      </w:pPr>
      <w:r w:rsidRPr="006F362A">
        <w:rPr>
          <w:lang w:val="en-GB"/>
        </w:rPr>
        <w:t xml:space="preserve">The Bayesian Belief Network (BBN) is the algorithm which determines the </w:t>
      </w:r>
      <w:r>
        <w:rPr>
          <w:lang w:val="en-GB"/>
        </w:rPr>
        <w:t>Forecasting Uncertainty Measure (</w:t>
      </w:r>
      <w:r w:rsidRPr="006F362A">
        <w:rPr>
          <w:lang w:val="en-GB"/>
        </w:rPr>
        <w:t>FUM</w:t>
      </w:r>
      <w:r>
        <w:rPr>
          <w:lang w:val="en-GB"/>
        </w:rPr>
        <w:t>),</w:t>
      </w:r>
      <w:r w:rsidRPr="006F362A">
        <w:rPr>
          <w:lang w:val="en-GB"/>
        </w:rPr>
        <w:t xml:space="preserve"> which in turn determines the </w:t>
      </w:r>
      <w:r>
        <w:rPr>
          <w:lang w:val="en-GB"/>
        </w:rPr>
        <w:t>Lack of Reserve (</w:t>
      </w:r>
      <w:r w:rsidRPr="006F362A">
        <w:rPr>
          <w:lang w:val="en-GB"/>
        </w:rPr>
        <w:t>LOR</w:t>
      </w:r>
      <w:r>
        <w:rPr>
          <w:lang w:val="en-GB"/>
        </w:rPr>
        <w:t>)</w:t>
      </w:r>
      <w:r w:rsidRPr="006F362A">
        <w:rPr>
          <w:lang w:val="en-GB"/>
        </w:rPr>
        <w:t xml:space="preserve"> levels. This process is summarised in the Reserv</w:t>
      </w:r>
      <w:r>
        <w:rPr>
          <w:lang w:val="en-GB"/>
        </w:rPr>
        <w:t>e Level Declaration Guidelines</w:t>
      </w:r>
      <w:r>
        <w:rPr>
          <w:rStyle w:val="FootnoteReference"/>
          <w:lang w:val="en-GB"/>
        </w:rPr>
        <w:footnoteReference w:id="2"/>
      </w:r>
      <w:r>
        <w:rPr>
          <w:lang w:val="en-GB"/>
        </w:rPr>
        <w:t>.</w:t>
      </w:r>
    </w:p>
    <w:p w14:paraId="34860F9F" w14:textId="4507929D" w:rsidR="008A53CD" w:rsidRDefault="008A53CD" w:rsidP="005C1A15">
      <w:pPr>
        <w:pStyle w:val="BodyText"/>
        <w:rPr>
          <w:lang w:val="en-GB"/>
        </w:rPr>
      </w:pPr>
      <w:r>
        <w:rPr>
          <w:lang w:val="en-GB"/>
        </w:rPr>
        <w:t xml:space="preserve">This report is divided into </w:t>
      </w:r>
      <w:r w:rsidR="007D0DD2">
        <w:rPr>
          <w:lang w:val="en-GB"/>
        </w:rPr>
        <w:t>two</w:t>
      </w:r>
      <w:r>
        <w:rPr>
          <w:lang w:val="en-GB"/>
        </w:rPr>
        <w:t xml:space="preserve"> sections:</w:t>
      </w:r>
    </w:p>
    <w:p w14:paraId="34860FA1" w14:textId="00981908" w:rsidR="008A53CD" w:rsidRDefault="008A53CD" w:rsidP="008A53CD">
      <w:pPr>
        <w:pStyle w:val="ListBullet"/>
        <w:rPr>
          <w:lang w:val="en-GB"/>
        </w:rPr>
      </w:pPr>
      <w:r w:rsidRPr="008A53CD">
        <w:rPr>
          <w:b/>
          <w:lang w:val="en-GB"/>
        </w:rPr>
        <w:t xml:space="preserve">Retraining of </w:t>
      </w:r>
      <w:r w:rsidR="0085131F">
        <w:rPr>
          <w:b/>
          <w:lang w:val="en-GB"/>
        </w:rPr>
        <w:t>the Bayesian Belief Network</w:t>
      </w:r>
      <w:r w:rsidRPr="008A53CD">
        <w:rPr>
          <w:lang w:val="en-GB"/>
        </w:rPr>
        <w:t xml:space="preserve"> – </w:t>
      </w:r>
      <w:r w:rsidR="00B70D0C">
        <w:rPr>
          <w:lang w:val="en-GB"/>
        </w:rPr>
        <w:t>high-level outline of the steps involved to retrain the BBN.</w:t>
      </w:r>
    </w:p>
    <w:p w14:paraId="5B00AA34" w14:textId="08B2E4AA" w:rsidR="001D22CE" w:rsidRDefault="00B70D0C" w:rsidP="007D0DD2">
      <w:pPr>
        <w:pStyle w:val="ListBullet"/>
        <w:rPr>
          <w:lang w:val="en-GB"/>
        </w:rPr>
      </w:pPr>
      <w:r>
        <w:rPr>
          <w:b/>
          <w:lang w:val="en-GB"/>
        </w:rPr>
        <w:t>Summary of outcomes from retraining</w:t>
      </w:r>
      <w:r w:rsidR="008A53CD" w:rsidRPr="008A53CD">
        <w:rPr>
          <w:lang w:val="en-GB"/>
        </w:rPr>
        <w:t xml:space="preserve"> –</w:t>
      </w:r>
      <w:r w:rsidR="008A53CD">
        <w:rPr>
          <w:lang w:val="en-GB"/>
        </w:rPr>
        <w:t xml:space="preserve"> </w:t>
      </w:r>
      <w:r w:rsidR="0085131F">
        <w:rPr>
          <w:lang w:val="en-GB"/>
        </w:rPr>
        <w:t>following retraining, an assessment of the changes to the conditional probability distributions within the BBN which determine the FUM</w:t>
      </w:r>
      <w:r w:rsidR="007D0DD2">
        <w:rPr>
          <w:lang w:val="en-GB"/>
        </w:rPr>
        <w:t>,</w:t>
      </w:r>
      <w:r w:rsidR="00D61226">
        <w:rPr>
          <w:lang w:val="en-GB"/>
        </w:rPr>
        <w:t xml:space="preserve"> and</w:t>
      </w:r>
      <w:r w:rsidR="007D0DD2">
        <w:rPr>
          <w:lang w:val="en-GB"/>
        </w:rPr>
        <w:t xml:space="preserve"> a</w:t>
      </w:r>
      <w:r w:rsidR="007D0DD2" w:rsidRPr="008A53CD">
        <w:rPr>
          <w:lang w:val="en-GB"/>
        </w:rPr>
        <w:t xml:space="preserve">n </w:t>
      </w:r>
      <w:r w:rsidR="007D0DD2">
        <w:rPr>
          <w:lang w:val="en-GB"/>
        </w:rPr>
        <w:t>estimate of the likely impact on future FUM values.</w:t>
      </w:r>
      <w:r w:rsidR="008A53CD" w:rsidRPr="008A53CD">
        <w:rPr>
          <w:lang w:val="en-GB"/>
        </w:rPr>
        <w:t xml:space="preserve"> </w:t>
      </w:r>
    </w:p>
    <w:p w14:paraId="34860FA7" w14:textId="2109B6D9" w:rsidR="008A53CD" w:rsidRDefault="008A53CD" w:rsidP="00B254B3">
      <w:pPr>
        <w:pStyle w:val="ListBullet"/>
        <w:numPr>
          <w:ilvl w:val="0"/>
          <w:numId w:val="0"/>
        </w:numPr>
        <w:rPr>
          <w:lang w:val="en-GB"/>
        </w:rPr>
      </w:pPr>
      <w:r w:rsidRPr="008A53CD">
        <w:rPr>
          <w:lang w:val="en-GB"/>
        </w:rPr>
        <w:t>For further information</w:t>
      </w:r>
      <w:r w:rsidR="007F08BC">
        <w:rPr>
          <w:lang w:val="en-GB"/>
        </w:rPr>
        <w:t>,</w:t>
      </w:r>
      <w:r w:rsidRPr="008A53CD">
        <w:rPr>
          <w:lang w:val="en-GB"/>
        </w:rPr>
        <w:t xml:space="preserve"> contact AEMO Operational Forecasting: </w:t>
      </w:r>
      <w:hyperlink r:id="rId18" w:history="1">
        <w:r w:rsidRPr="008938EF">
          <w:rPr>
            <w:rStyle w:val="Hyperlink"/>
            <w:lang w:val="en-GB"/>
          </w:rPr>
          <w:t>op.forecasting@aemo.com.au</w:t>
        </w:r>
      </w:hyperlink>
      <w:r>
        <w:rPr>
          <w:lang w:val="en-GB"/>
        </w:rPr>
        <w:t>.</w:t>
      </w:r>
    </w:p>
    <w:p w14:paraId="34860FB1" w14:textId="77777777" w:rsidR="006F362A" w:rsidRDefault="006F362A" w:rsidP="006F362A">
      <w:pPr>
        <w:pStyle w:val="Heading1"/>
        <w:rPr>
          <w:lang w:val="en-GB"/>
        </w:rPr>
      </w:pPr>
      <w:bookmarkStart w:id="4" w:name="_Toc515978785"/>
      <w:r>
        <w:rPr>
          <w:lang w:val="en-GB"/>
        </w:rPr>
        <w:lastRenderedPageBreak/>
        <w:t>Retraining of the Bayesian Belief Network</w:t>
      </w:r>
      <w:bookmarkEnd w:id="4"/>
    </w:p>
    <w:p w14:paraId="34860FB2" w14:textId="1EB23BB8" w:rsidR="006F362A" w:rsidRDefault="00496291" w:rsidP="006F362A">
      <w:pPr>
        <w:pStyle w:val="BodyText"/>
        <w:rPr>
          <w:lang w:val="en-GB"/>
        </w:rPr>
      </w:pPr>
      <w:r>
        <w:rPr>
          <w:lang w:val="en-GB"/>
        </w:rPr>
        <w:t>The i</w:t>
      </w:r>
      <w:r w:rsidR="00545192">
        <w:rPr>
          <w:lang w:val="en-GB"/>
        </w:rPr>
        <w:t xml:space="preserve">ntention of retraining </w:t>
      </w:r>
      <w:r>
        <w:rPr>
          <w:lang w:val="en-GB"/>
        </w:rPr>
        <w:t>the BBN is to update the network to include recent historic data since the last retraining.</w:t>
      </w:r>
      <w:r w:rsidRPr="006F362A">
        <w:rPr>
          <w:lang w:val="en-GB"/>
        </w:rPr>
        <w:t xml:space="preserve"> </w:t>
      </w:r>
      <w:r w:rsidR="006F362A" w:rsidRPr="006F362A">
        <w:rPr>
          <w:lang w:val="en-GB"/>
        </w:rPr>
        <w:t>The</w:t>
      </w:r>
      <w:r w:rsidR="0085131F">
        <w:rPr>
          <w:lang w:val="en-GB"/>
        </w:rPr>
        <w:t xml:space="preserve"> initial version of the BBN that was deployed during the implementation of the Reserve Level Declaration Guidelines was trained on </w:t>
      </w:r>
      <w:r>
        <w:rPr>
          <w:lang w:val="en-GB"/>
        </w:rPr>
        <w:t>data from 1 July 2011 to 1 August 2017.</w:t>
      </w:r>
    </w:p>
    <w:p w14:paraId="4114CEAA" w14:textId="05D57393" w:rsidR="00315089" w:rsidRDefault="00393252" w:rsidP="006F362A">
      <w:pPr>
        <w:pStyle w:val="BodyText"/>
        <w:rPr>
          <w:lang w:val="en-GB"/>
        </w:rPr>
      </w:pPr>
      <w:r>
        <w:rPr>
          <w:lang w:val="en-GB"/>
        </w:rPr>
        <w:t xml:space="preserve">AEMO </w:t>
      </w:r>
      <w:r w:rsidR="00496291">
        <w:rPr>
          <w:lang w:val="en-GB"/>
        </w:rPr>
        <w:t>commenced</w:t>
      </w:r>
      <w:r w:rsidR="00315089">
        <w:rPr>
          <w:lang w:val="en-GB"/>
        </w:rPr>
        <w:t xml:space="preserve"> </w:t>
      </w:r>
      <w:r>
        <w:rPr>
          <w:lang w:val="en-GB"/>
        </w:rPr>
        <w:t xml:space="preserve">retraining of the BBN </w:t>
      </w:r>
      <w:r w:rsidR="00496291">
        <w:rPr>
          <w:lang w:val="en-GB"/>
        </w:rPr>
        <w:t xml:space="preserve">in April 2018 to include data from 1 August 2017 to 31 March 2018. This is the equivalent of adding approximately 10% additional data to the training data set. </w:t>
      </w:r>
    </w:p>
    <w:p w14:paraId="6573439B" w14:textId="4E5603EB" w:rsidR="002E49F8" w:rsidRDefault="002E49F8" w:rsidP="006F362A">
      <w:pPr>
        <w:pStyle w:val="BodyText"/>
        <w:rPr>
          <w:lang w:val="en-GB"/>
        </w:rPr>
      </w:pPr>
      <w:r>
        <w:rPr>
          <w:lang w:val="en-GB"/>
        </w:rPr>
        <w:t xml:space="preserve">The retraining involves a </w:t>
      </w:r>
      <w:r w:rsidR="00315089">
        <w:rPr>
          <w:lang w:val="en-GB"/>
        </w:rPr>
        <w:t>three</w:t>
      </w:r>
      <w:r>
        <w:rPr>
          <w:lang w:val="en-GB"/>
        </w:rPr>
        <w:t>-stage process:</w:t>
      </w:r>
    </w:p>
    <w:p w14:paraId="104FF4A4" w14:textId="5DF883F8" w:rsidR="002E49F8" w:rsidRDefault="002E49F8" w:rsidP="00B254B3">
      <w:pPr>
        <w:pStyle w:val="ListNumber"/>
        <w:rPr>
          <w:lang w:val="en-GB"/>
        </w:rPr>
      </w:pPr>
      <w:r>
        <w:rPr>
          <w:lang w:val="en-GB"/>
        </w:rPr>
        <w:t>An Extract-Transform-Load (ETL) stage</w:t>
      </w:r>
      <w:r w:rsidR="00315089">
        <w:rPr>
          <w:lang w:val="en-GB"/>
        </w:rPr>
        <w:t>,</w:t>
      </w:r>
      <w:r>
        <w:rPr>
          <w:lang w:val="en-GB"/>
        </w:rPr>
        <w:t xml:space="preserve"> to extract historical data up to 31 March 2018, perform data validation and cleansing, and compil</w:t>
      </w:r>
      <w:r w:rsidR="00315089">
        <w:rPr>
          <w:lang w:val="en-GB"/>
        </w:rPr>
        <w:t>e</w:t>
      </w:r>
      <w:r>
        <w:rPr>
          <w:lang w:val="en-GB"/>
        </w:rPr>
        <w:t xml:space="preserve"> the data into the structured format required to incorporate into the network.</w:t>
      </w:r>
    </w:p>
    <w:p w14:paraId="5A07C0A0" w14:textId="69F5BD75" w:rsidR="002E49F8" w:rsidRDefault="002E49F8" w:rsidP="00B254B3">
      <w:pPr>
        <w:pStyle w:val="ListNumber"/>
        <w:rPr>
          <w:lang w:val="en-GB"/>
        </w:rPr>
      </w:pPr>
      <w:r>
        <w:rPr>
          <w:lang w:val="en-GB"/>
        </w:rPr>
        <w:t>An analysis and modelling stage</w:t>
      </w:r>
      <w:r w:rsidR="00315089">
        <w:rPr>
          <w:lang w:val="en-GB"/>
        </w:rPr>
        <w:t>,</w:t>
      </w:r>
      <w:r>
        <w:rPr>
          <w:lang w:val="en-GB"/>
        </w:rPr>
        <w:t xml:space="preserve"> to update the network and compile the network nodes.</w:t>
      </w:r>
    </w:p>
    <w:p w14:paraId="525128E2" w14:textId="155F1FBA" w:rsidR="002E49F8" w:rsidRDefault="002E49F8" w:rsidP="00B254B3">
      <w:pPr>
        <w:pStyle w:val="ListNumber"/>
        <w:rPr>
          <w:lang w:val="en-GB"/>
        </w:rPr>
      </w:pPr>
      <w:r>
        <w:rPr>
          <w:lang w:val="en-GB"/>
        </w:rPr>
        <w:t>A test and verification stage</w:t>
      </w:r>
      <w:r w:rsidR="00315089">
        <w:rPr>
          <w:lang w:val="en-GB"/>
        </w:rPr>
        <w:t>,</w:t>
      </w:r>
      <w:r>
        <w:rPr>
          <w:lang w:val="en-GB"/>
        </w:rPr>
        <w:t xml:space="preserve"> to ensure the retrained network is suitable for production implementation.</w:t>
      </w:r>
    </w:p>
    <w:p w14:paraId="68BF754A" w14:textId="24C22B13" w:rsidR="00496291" w:rsidRDefault="00496291" w:rsidP="006F362A">
      <w:pPr>
        <w:pStyle w:val="BodyText"/>
        <w:rPr>
          <w:lang w:val="en-GB"/>
        </w:rPr>
      </w:pPr>
      <w:r>
        <w:rPr>
          <w:lang w:val="en-GB"/>
        </w:rPr>
        <w:t xml:space="preserve">AEMO completed the retraining process and implemented the retrained BBN into production on </w:t>
      </w:r>
      <w:r w:rsidR="00C8094C">
        <w:rPr>
          <w:lang w:val="en-GB"/>
        </w:rPr>
        <w:t>13</w:t>
      </w:r>
      <w:r>
        <w:rPr>
          <w:lang w:val="en-GB"/>
        </w:rPr>
        <w:t xml:space="preserve"> June 2018.</w:t>
      </w:r>
    </w:p>
    <w:p w14:paraId="34860FB5" w14:textId="6245803C" w:rsidR="006F362A" w:rsidRDefault="00545192" w:rsidP="006F362A">
      <w:pPr>
        <w:pStyle w:val="Heading1"/>
        <w:rPr>
          <w:lang w:val="en-GB"/>
        </w:rPr>
      </w:pPr>
      <w:bookmarkStart w:id="5" w:name="_Toc515978786"/>
      <w:r>
        <w:rPr>
          <w:lang w:val="en-GB"/>
        </w:rPr>
        <w:lastRenderedPageBreak/>
        <w:t>Summary of outcomes from retraining</w:t>
      </w:r>
      <w:bookmarkEnd w:id="5"/>
    </w:p>
    <w:p w14:paraId="5061E888" w14:textId="68E1B0EE" w:rsidR="001E6AF0" w:rsidRDefault="001E6AF0" w:rsidP="006F362A">
      <w:pPr>
        <w:pStyle w:val="BodyText"/>
        <w:rPr>
          <w:lang w:val="en-GB"/>
        </w:rPr>
      </w:pPr>
      <w:r>
        <w:rPr>
          <w:lang w:val="en-GB"/>
        </w:rPr>
        <w:t>AEMO has completed the following assessments to determine outcomes from retraining:</w:t>
      </w:r>
    </w:p>
    <w:p w14:paraId="65E04DB7" w14:textId="2A18C86D" w:rsidR="001E6AF0" w:rsidRDefault="001E6AF0" w:rsidP="0088683A">
      <w:pPr>
        <w:pStyle w:val="BodyText"/>
        <w:numPr>
          <w:ilvl w:val="0"/>
          <w:numId w:val="18"/>
        </w:numPr>
        <w:rPr>
          <w:lang w:val="en-GB"/>
        </w:rPr>
      </w:pPr>
      <w:r>
        <w:rPr>
          <w:lang w:val="en-GB"/>
        </w:rPr>
        <w:t>Inspection of changes to prob</w:t>
      </w:r>
      <w:r w:rsidR="00D80650">
        <w:rPr>
          <w:lang w:val="en-GB"/>
        </w:rPr>
        <w:t>ability distributions – changes to the conditional probability distributions when no input values are selected give an indication of potential FUM values under base-case scenarios.</w:t>
      </w:r>
    </w:p>
    <w:p w14:paraId="13CDCD66" w14:textId="061FD0EF" w:rsidR="00D80650" w:rsidRDefault="00F679E5" w:rsidP="0088683A">
      <w:pPr>
        <w:pStyle w:val="BodyText"/>
        <w:numPr>
          <w:ilvl w:val="0"/>
          <w:numId w:val="18"/>
        </w:numPr>
        <w:rPr>
          <w:lang w:val="en-GB"/>
        </w:rPr>
      </w:pPr>
      <w:r>
        <w:rPr>
          <w:lang w:val="en-GB"/>
        </w:rPr>
        <w:t>Extreme input s</w:t>
      </w:r>
      <w:r w:rsidR="00D80650">
        <w:rPr>
          <w:lang w:val="en-GB"/>
        </w:rPr>
        <w:t xml:space="preserve">ensitivity analysis – gives an indication of sensitivity of potential FUM values to extreme input conditions. </w:t>
      </w:r>
    </w:p>
    <w:p w14:paraId="1A4B7D7D" w14:textId="277F3494" w:rsidR="00D80650" w:rsidRDefault="00D80650" w:rsidP="0088683A">
      <w:pPr>
        <w:pStyle w:val="BodyText"/>
        <w:numPr>
          <w:ilvl w:val="0"/>
          <w:numId w:val="18"/>
        </w:numPr>
        <w:rPr>
          <w:lang w:val="en-GB"/>
        </w:rPr>
      </w:pPr>
      <w:r>
        <w:rPr>
          <w:lang w:val="en-GB"/>
        </w:rPr>
        <w:t>Comparison of FUM values – FUM values from the retrained BBN were compared</w:t>
      </w:r>
      <w:r w:rsidR="00492581">
        <w:rPr>
          <w:lang w:val="en-GB"/>
        </w:rPr>
        <w:t xml:space="preserve"> with the values from the initial BBN to</w:t>
      </w:r>
      <w:r>
        <w:rPr>
          <w:lang w:val="en-GB"/>
        </w:rPr>
        <w:t xml:space="preserve"> give an indication of </w:t>
      </w:r>
      <w:r w:rsidR="00D90084">
        <w:rPr>
          <w:lang w:val="en-GB"/>
        </w:rPr>
        <w:t xml:space="preserve">changes to </w:t>
      </w:r>
      <w:r>
        <w:rPr>
          <w:lang w:val="en-GB"/>
        </w:rPr>
        <w:t>FUM values under real-world conditions.</w:t>
      </w:r>
    </w:p>
    <w:p w14:paraId="07555207" w14:textId="77777777" w:rsidR="00371860" w:rsidRDefault="00D90084" w:rsidP="006F362A">
      <w:pPr>
        <w:pStyle w:val="BodyText"/>
        <w:rPr>
          <w:lang w:val="en-GB"/>
        </w:rPr>
      </w:pPr>
      <w:r>
        <w:rPr>
          <w:lang w:val="en-GB"/>
        </w:rPr>
        <w:t>The results from this analysis indicate that changes to future FUM values can be expected</w:t>
      </w:r>
      <w:r w:rsidR="00764BB9">
        <w:rPr>
          <w:lang w:val="en-GB"/>
        </w:rPr>
        <w:t xml:space="preserve"> due to the retrained BBN</w:t>
      </w:r>
      <w:r w:rsidR="00371860">
        <w:rPr>
          <w:lang w:val="en-GB"/>
        </w:rPr>
        <w:t xml:space="preserve"> as follows:</w:t>
      </w:r>
    </w:p>
    <w:p w14:paraId="2F257B63" w14:textId="4F31F534" w:rsidR="00371860" w:rsidRDefault="00371860" w:rsidP="005012FB">
      <w:pPr>
        <w:pStyle w:val="BodyText"/>
        <w:numPr>
          <w:ilvl w:val="0"/>
          <w:numId w:val="20"/>
        </w:numPr>
        <w:rPr>
          <w:lang w:val="en-GB"/>
        </w:rPr>
      </w:pPr>
      <w:r>
        <w:rPr>
          <w:lang w:val="en-GB"/>
        </w:rPr>
        <w:t>NSW – increase to FUM values in the near term (0 to 8 hours ahead), decrease to FUM values from 24 hours ahead to 60 hours ahead.</w:t>
      </w:r>
    </w:p>
    <w:p w14:paraId="537F8BA1" w14:textId="1F31BA19" w:rsidR="00371860" w:rsidRDefault="00371860" w:rsidP="005012FB">
      <w:pPr>
        <w:pStyle w:val="BodyText"/>
        <w:numPr>
          <w:ilvl w:val="0"/>
          <w:numId w:val="20"/>
        </w:numPr>
        <w:rPr>
          <w:lang w:val="en-GB"/>
        </w:rPr>
      </w:pPr>
      <w:r>
        <w:rPr>
          <w:lang w:val="en-GB"/>
        </w:rPr>
        <w:t>QLD – immaterial changes to most forecasting horizons, with the exception of a decrease to FUM values at 48 hours ahead.</w:t>
      </w:r>
    </w:p>
    <w:p w14:paraId="51BD0395" w14:textId="4D39E834" w:rsidR="00371860" w:rsidRDefault="00371860" w:rsidP="005012FB">
      <w:pPr>
        <w:pStyle w:val="BodyText"/>
        <w:numPr>
          <w:ilvl w:val="0"/>
          <w:numId w:val="20"/>
        </w:numPr>
        <w:rPr>
          <w:lang w:val="en-GB"/>
        </w:rPr>
      </w:pPr>
      <w:r>
        <w:rPr>
          <w:lang w:val="en-GB"/>
        </w:rPr>
        <w:t>SA – decrease to FUM values for all forecasting horizons.</w:t>
      </w:r>
    </w:p>
    <w:p w14:paraId="13B2CB9C" w14:textId="34D5BC1F" w:rsidR="00371860" w:rsidRDefault="00371860" w:rsidP="005012FB">
      <w:pPr>
        <w:pStyle w:val="BodyText"/>
        <w:numPr>
          <w:ilvl w:val="0"/>
          <w:numId w:val="20"/>
        </w:numPr>
        <w:rPr>
          <w:lang w:val="en-GB"/>
        </w:rPr>
      </w:pPr>
      <w:r>
        <w:rPr>
          <w:lang w:val="en-GB"/>
        </w:rPr>
        <w:t>TAS – immaterial changes to all forecasting horizons.</w:t>
      </w:r>
    </w:p>
    <w:p w14:paraId="750AA7D6" w14:textId="360CDA2E" w:rsidR="00371860" w:rsidRDefault="00371860" w:rsidP="005012FB">
      <w:pPr>
        <w:pStyle w:val="BodyText"/>
        <w:numPr>
          <w:ilvl w:val="0"/>
          <w:numId w:val="20"/>
        </w:numPr>
        <w:rPr>
          <w:lang w:val="en-GB"/>
        </w:rPr>
      </w:pPr>
      <w:r>
        <w:rPr>
          <w:lang w:val="en-GB"/>
        </w:rPr>
        <w:t>VIC – decrease to FUM values for all forecasting horizons.</w:t>
      </w:r>
    </w:p>
    <w:p w14:paraId="7A93E4E8" w14:textId="66503C48" w:rsidR="002834D8" w:rsidRDefault="00D90084" w:rsidP="006F362A">
      <w:pPr>
        <w:pStyle w:val="BodyText"/>
        <w:rPr>
          <w:lang w:val="en-GB"/>
        </w:rPr>
      </w:pPr>
      <w:r>
        <w:rPr>
          <w:lang w:val="en-GB"/>
        </w:rPr>
        <w:t xml:space="preserve">These changes are summarised in </w:t>
      </w:r>
      <w:r w:rsidR="002834D8">
        <w:rPr>
          <w:lang w:val="en-GB"/>
        </w:rPr>
        <w:fldChar w:fldCharType="begin"/>
      </w:r>
      <w:r w:rsidR="002834D8">
        <w:rPr>
          <w:lang w:val="en-GB"/>
        </w:rPr>
        <w:instrText xml:space="preserve"> REF _Ref515978621 \h </w:instrText>
      </w:r>
      <w:r w:rsidR="002834D8">
        <w:rPr>
          <w:lang w:val="en-GB"/>
        </w:rPr>
      </w:r>
      <w:r w:rsidR="002834D8">
        <w:rPr>
          <w:lang w:val="en-GB"/>
        </w:rPr>
        <w:fldChar w:fldCharType="separate"/>
      </w:r>
      <w:r w:rsidR="002834D8">
        <w:t xml:space="preserve">Table </w:t>
      </w:r>
      <w:r w:rsidR="002834D8">
        <w:rPr>
          <w:noProof/>
        </w:rPr>
        <w:t>1</w:t>
      </w:r>
      <w:r w:rsidR="002834D8">
        <w:rPr>
          <w:lang w:val="en-GB"/>
        </w:rPr>
        <w:fldChar w:fldCharType="end"/>
      </w:r>
      <w:r w:rsidR="002834D8">
        <w:rPr>
          <w:lang w:val="en-GB"/>
        </w:rPr>
        <w:t>.</w:t>
      </w:r>
    </w:p>
    <w:p w14:paraId="05E39BA3" w14:textId="54B893F7" w:rsidR="0043462F" w:rsidRDefault="0043462F" w:rsidP="006F362A">
      <w:pPr>
        <w:pStyle w:val="BodyText"/>
        <w:rPr>
          <w:lang w:val="en-GB"/>
        </w:rPr>
      </w:pPr>
      <w:r>
        <w:rPr>
          <w:lang w:val="en-GB"/>
        </w:rPr>
        <w:t>The observed trend of general decreases to expected FUM values as a result of the retrained BBN indicates that the forecasting accuracy of the additional historic data introduced into the training set is, on average, more accurate than the existing training set data.</w:t>
      </w:r>
      <w:r w:rsidR="0088683A">
        <w:rPr>
          <w:lang w:val="en-GB"/>
        </w:rPr>
        <w:t xml:space="preserve"> The resulting expected decreases to FUM values indicate total forecasting uncertainty has decreased following the retraining.</w:t>
      </w:r>
      <w:r>
        <w:rPr>
          <w:lang w:val="en-GB"/>
        </w:rPr>
        <w:t xml:space="preserve"> This result is consistent with the ongoing effort to improve forecasting system accuracy at AEMO.</w:t>
      </w:r>
    </w:p>
    <w:p w14:paraId="1350BE6B" w14:textId="55045F91" w:rsidR="00492581" w:rsidRDefault="00492581" w:rsidP="006F362A">
      <w:pPr>
        <w:pStyle w:val="BodyText"/>
        <w:rPr>
          <w:lang w:val="en-GB"/>
        </w:rPr>
      </w:pPr>
      <w:r>
        <w:t xml:space="preserve">The near-term NSW increases noted in the assessment were caused by small sample sizes due to a combination of cold temperatures and moderate to high intermittent generation during the week over which the </w:t>
      </w:r>
      <w:r>
        <w:rPr>
          <w:lang w:val="en-GB"/>
        </w:rPr>
        <w:t>retrained BBN and the initial BBN were compared.</w:t>
      </w:r>
    </w:p>
    <w:p w14:paraId="427A5761" w14:textId="5A3CDFAF" w:rsidR="002834D8" w:rsidRDefault="002834D8" w:rsidP="002834D8">
      <w:pPr>
        <w:pStyle w:val="Caption"/>
        <w:keepNext/>
      </w:pPr>
      <w:bookmarkStart w:id="6" w:name="_Ref515978621"/>
      <w:r>
        <w:t xml:space="preserve">Table </w:t>
      </w:r>
      <w:fldSimple w:instr=" SEQ Table \* ARABIC ">
        <w:r>
          <w:rPr>
            <w:noProof/>
          </w:rPr>
          <w:t>1</w:t>
        </w:r>
      </w:fldSimple>
      <w:bookmarkEnd w:id="6"/>
      <w:r>
        <w:t xml:space="preserve"> - estimate of likely changes to future FUM values </w:t>
      </w:r>
      <w:r w:rsidR="00764BB9">
        <w:t>due to retrained BBN</w:t>
      </w:r>
      <w:r w:rsidR="00C8094C">
        <w:t xml:space="preserve"> assuming similar input conditions</w:t>
      </w:r>
    </w:p>
    <w:tbl>
      <w:tblPr>
        <w:tblStyle w:val="AEMO"/>
        <w:tblW w:w="0" w:type="auto"/>
        <w:tblLook w:val="04A0" w:firstRow="1" w:lastRow="0" w:firstColumn="1" w:lastColumn="0" w:noHBand="0" w:noVBand="1"/>
      </w:tblPr>
      <w:tblGrid>
        <w:gridCol w:w="1029"/>
        <w:gridCol w:w="1974"/>
        <w:gridCol w:w="3058"/>
        <w:gridCol w:w="3351"/>
      </w:tblGrid>
      <w:tr w:rsidR="00764BB9" w14:paraId="13CAA00D" w14:textId="77777777" w:rsidTr="0076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Pr>
          <w:p w14:paraId="319C437D" w14:textId="45BC2800" w:rsidR="00764BB9" w:rsidRPr="00B46BEF" w:rsidRDefault="00764BB9" w:rsidP="00F76D97">
            <w:pPr>
              <w:pStyle w:val="TableTitle"/>
            </w:pPr>
            <w:r w:rsidRPr="00B46BEF">
              <w:t>Region</w:t>
            </w:r>
          </w:p>
        </w:tc>
        <w:tc>
          <w:tcPr>
            <w:tcW w:w="1974" w:type="dxa"/>
            <w:hideMark/>
          </w:tcPr>
          <w:p w14:paraId="52D5F278" w14:textId="77777777" w:rsidR="00764BB9" w:rsidRPr="00B46BEF" w:rsidRDefault="00764BB9" w:rsidP="00F76D97">
            <w:pPr>
              <w:pStyle w:val="TableTitle"/>
              <w:cnfStyle w:val="100000000000" w:firstRow="1" w:lastRow="0" w:firstColumn="0" w:lastColumn="0" w:oddVBand="0" w:evenVBand="0" w:oddHBand="0" w:evenHBand="0" w:firstRowFirstColumn="0" w:firstRowLastColumn="0" w:lastRowFirstColumn="0" w:lastRowLastColumn="0"/>
            </w:pPr>
            <w:r>
              <w:t>Forecasting horizon (</w:t>
            </w:r>
            <w:proofErr w:type="spellStart"/>
            <w:r>
              <w:t>h</w:t>
            </w:r>
            <w:r w:rsidRPr="00B46BEF">
              <w:t>rs</w:t>
            </w:r>
            <w:proofErr w:type="spellEnd"/>
            <w:r w:rsidRPr="00B46BEF">
              <w:t>)</w:t>
            </w:r>
          </w:p>
        </w:tc>
        <w:tc>
          <w:tcPr>
            <w:tcW w:w="3058" w:type="dxa"/>
          </w:tcPr>
          <w:p w14:paraId="4CC38EEF" w14:textId="44862F38" w:rsidR="00764BB9" w:rsidRDefault="00764BB9" w:rsidP="00371860">
            <w:pPr>
              <w:pStyle w:val="TableTitle"/>
              <w:cnfStyle w:val="100000000000" w:firstRow="1" w:lastRow="0" w:firstColumn="0" w:lastColumn="0" w:oddVBand="0" w:evenVBand="0" w:oddHBand="0" w:evenHBand="0" w:firstRowFirstColumn="0" w:firstRowLastColumn="0" w:lastRowFirstColumn="0" w:lastRowLastColumn="0"/>
            </w:pPr>
            <w:r>
              <w:t>Previously published average FUM</w:t>
            </w:r>
            <w:r w:rsidR="00371860">
              <w:t xml:space="preserve"> values</w:t>
            </w:r>
            <w:r w:rsidR="00371860">
              <w:rPr>
                <w:rStyle w:val="FootnoteReference"/>
              </w:rPr>
              <w:footnoteReference w:id="3"/>
            </w:r>
            <w:r>
              <w:t xml:space="preserve"> (MW)</w:t>
            </w:r>
          </w:p>
        </w:tc>
        <w:tc>
          <w:tcPr>
            <w:tcW w:w="3351" w:type="dxa"/>
            <w:hideMark/>
          </w:tcPr>
          <w:p w14:paraId="74C3BA2F" w14:textId="1BEEED31" w:rsidR="00764BB9" w:rsidRPr="00B46BEF" w:rsidRDefault="00764BB9" w:rsidP="00764BB9">
            <w:pPr>
              <w:pStyle w:val="TableTitle"/>
              <w:cnfStyle w:val="100000000000" w:firstRow="1" w:lastRow="0" w:firstColumn="0" w:lastColumn="0" w:oddVBand="0" w:evenVBand="0" w:oddHBand="0" w:evenHBand="0" w:firstRowFirstColumn="0" w:firstRowLastColumn="0" w:lastRowFirstColumn="0" w:lastRowLastColumn="0"/>
            </w:pPr>
            <w:r>
              <w:t>Estimated change to future FUM values (MW)</w:t>
            </w:r>
          </w:p>
        </w:tc>
      </w:tr>
      <w:tr w:rsidR="00764BB9" w14:paraId="37A56751"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F6AD9AE" w14:textId="1C1AE269" w:rsidR="00764BB9" w:rsidRPr="00B46BEF" w:rsidRDefault="00764BB9" w:rsidP="00F76D97">
            <w:pPr>
              <w:pStyle w:val="TableText"/>
              <w:rPr>
                <w:b/>
              </w:rPr>
            </w:pPr>
            <w:r>
              <w:t>NSW</w:t>
            </w:r>
          </w:p>
        </w:tc>
        <w:tc>
          <w:tcPr>
            <w:tcW w:w="1974" w:type="dxa"/>
            <w:hideMark/>
          </w:tcPr>
          <w:p w14:paraId="212DC294" w14:textId="526EFB2C"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w:t>
            </w:r>
          </w:p>
        </w:tc>
        <w:tc>
          <w:tcPr>
            <w:tcW w:w="3058" w:type="dxa"/>
          </w:tcPr>
          <w:p w14:paraId="4C5C6C56" w14:textId="53EBDFC5"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1133</w:t>
            </w:r>
          </w:p>
        </w:tc>
        <w:tc>
          <w:tcPr>
            <w:tcW w:w="3351" w:type="dxa"/>
            <w:hideMark/>
          </w:tcPr>
          <w:p w14:paraId="738E5D7D" w14:textId="786C10E9"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+65</w:t>
            </w:r>
          </w:p>
        </w:tc>
      </w:tr>
      <w:tr w:rsidR="00764BB9" w14:paraId="1C9A6F2C"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4874EAC3" w14:textId="77777777" w:rsidR="00764BB9" w:rsidRDefault="00764BB9" w:rsidP="00F76D97">
            <w:pPr>
              <w:pStyle w:val="TableText"/>
            </w:pPr>
          </w:p>
        </w:tc>
        <w:tc>
          <w:tcPr>
            <w:tcW w:w="1974" w:type="dxa"/>
          </w:tcPr>
          <w:p w14:paraId="485F1E7F" w14:textId="2A97D2D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w:t>
            </w:r>
          </w:p>
        </w:tc>
        <w:tc>
          <w:tcPr>
            <w:tcW w:w="3058" w:type="dxa"/>
          </w:tcPr>
          <w:p w14:paraId="08461D81" w14:textId="1AF475F7"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1352</w:t>
            </w:r>
          </w:p>
        </w:tc>
        <w:tc>
          <w:tcPr>
            <w:tcW w:w="3351" w:type="dxa"/>
          </w:tcPr>
          <w:p w14:paraId="0421B7F2" w14:textId="27E91AF5"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7F4AF1BC"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2AD3D17" w14:textId="77777777" w:rsidR="00764BB9" w:rsidRDefault="00764BB9" w:rsidP="00F76D97">
            <w:pPr>
              <w:pStyle w:val="TableText"/>
            </w:pPr>
          </w:p>
        </w:tc>
        <w:tc>
          <w:tcPr>
            <w:tcW w:w="1974" w:type="dxa"/>
          </w:tcPr>
          <w:p w14:paraId="5B0D8ED2" w14:textId="1D814E1D" w:rsidR="00764BB9"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24</w:t>
            </w:r>
          </w:p>
        </w:tc>
        <w:tc>
          <w:tcPr>
            <w:tcW w:w="3058" w:type="dxa"/>
          </w:tcPr>
          <w:p w14:paraId="1DF7D60B" w14:textId="2F5E3FB3"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1287</w:t>
            </w:r>
          </w:p>
        </w:tc>
        <w:tc>
          <w:tcPr>
            <w:tcW w:w="3351" w:type="dxa"/>
          </w:tcPr>
          <w:p w14:paraId="322CE49C" w14:textId="34BBE9B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-25</w:t>
            </w:r>
          </w:p>
        </w:tc>
      </w:tr>
      <w:tr w:rsidR="00764BB9" w14:paraId="1C3FA24E"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1BB0E28A" w14:textId="77777777" w:rsidR="00764BB9" w:rsidRDefault="00764BB9" w:rsidP="00F76D97">
            <w:pPr>
              <w:pStyle w:val="TableText"/>
            </w:pPr>
          </w:p>
        </w:tc>
        <w:tc>
          <w:tcPr>
            <w:tcW w:w="1974" w:type="dxa"/>
          </w:tcPr>
          <w:p w14:paraId="6BEF8D84" w14:textId="504245FA"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48</w:t>
            </w:r>
          </w:p>
        </w:tc>
        <w:tc>
          <w:tcPr>
            <w:tcW w:w="3058" w:type="dxa"/>
          </w:tcPr>
          <w:p w14:paraId="3FF736E4" w14:textId="4DBE8DF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1586</w:t>
            </w:r>
          </w:p>
        </w:tc>
        <w:tc>
          <w:tcPr>
            <w:tcW w:w="3351" w:type="dxa"/>
          </w:tcPr>
          <w:p w14:paraId="6014E26F" w14:textId="2802F577"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-50</w:t>
            </w:r>
          </w:p>
        </w:tc>
      </w:tr>
      <w:tr w:rsidR="00764BB9" w14:paraId="7E1AA64A"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6A8D3AE2" w14:textId="77777777" w:rsidR="00764BB9" w:rsidRDefault="00764BB9" w:rsidP="00F76D97">
            <w:pPr>
              <w:pStyle w:val="TableText"/>
            </w:pPr>
          </w:p>
        </w:tc>
        <w:tc>
          <w:tcPr>
            <w:tcW w:w="1974" w:type="dxa"/>
          </w:tcPr>
          <w:p w14:paraId="4718DBA0" w14:textId="5F6A6529" w:rsidR="00764BB9"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60</w:t>
            </w:r>
          </w:p>
        </w:tc>
        <w:tc>
          <w:tcPr>
            <w:tcW w:w="3058" w:type="dxa"/>
          </w:tcPr>
          <w:p w14:paraId="7A01405A" w14:textId="225A2C8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1663</w:t>
            </w:r>
          </w:p>
        </w:tc>
        <w:tc>
          <w:tcPr>
            <w:tcW w:w="3351" w:type="dxa"/>
          </w:tcPr>
          <w:p w14:paraId="1FAE55B4" w14:textId="148FAF19"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-50</w:t>
            </w:r>
          </w:p>
        </w:tc>
      </w:tr>
      <w:tr w:rsidR="00764BB9" w14:paraId="2147CC99"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F795F46" w14:textId="7C319BE8" w:rsidR="00764BB9" w:rsidRPr="00B46BEF" w:rsidRDefault="00764BB9" w:rsidP="00F76D97">
            <w:pPr>
              <w:pStyle w:val="TableText"/>
              <w:rPr>
                <w:b/>
              </w:rPr>
            </w:pPr>
            <w:r>
              <w:t>QLD</w:t>
            </w:r>
          </w:p>
        </w:tc>
        <w:tc>
          <w:tcPr>
            <w:tcW w:w="1974" w:type="dxa"/>
            <w:hideMark/>
          </w:tcPr>
          <w:p w14:paraId="4E48D9E5" w14:textId="16878B55"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w:t>
            </w:r>
          </w:p>
        </w:tc>
        <w:tc>
          <w:tcPr>
            <w:tcW w:w="3058" w:type="dxa"/>
          </w:tcPr>
          <w:p w14:paraId="59D630D9" w14:textId="673D15E4"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729</w:t>
            </w:r>
          </w:p>
        </w:tc>
        <w:tc>
          <w:tcPr>
            <w:tcW w:w="3351" w:type="dxa"/>
            <w:hideMark/>
          </w:tcPr>
          <w:p w14:paraId="5BDBFB62" w14:textId="7E3617F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64EECB56"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3195D6B9" w14:textId="77777777" w:rsidR="00764BB9" w:rsidRDefault="00764BB9" w:rsidP="00F76D97">
            <w:pPr>
              <w:pStyle w:val="TableText"/>
            </w:pPr>
          </w:p>
        </w:tc>
        <w:tc>
          <w:tcPr>
            <w:tcW w:w="1974" w:type="dxa"/>
          </w:tcPr>
          <w:p w14:paraId="5C5B44AE" w14:textId="50054681"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w:t>
            </w:r>
          </w:p>
        </w:tc>
        <w:tc>
          <w:tcPr>
            <w:tcW w:w="3058" w:type="dxa"/>
          </w:tcPr>
          <w:p w14:paraId="349866F9" w14:textId="2D7DB46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874</w:t>
            </w:r>
          </w:p>
        </w:tc>
        <w:tc>
          <w:tcPr>
            <w:tcW w:w="3351" w:type="dxa"/>
          </w:tcPr>
          <w:p w14:paraId="3466C05F" w14:textId="7C4364E1"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21B11052"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02521182" w14:textId="77777777" w:rsidR="00764BB9" w:rsidRDefault="00764BB9" w:rsidP="00F76D97">
            <w:pPr>
              <w:pStyle w:val="TableText"/>
            </w:pPr>
          </w:p>
        </w:tc>
        <w:tc>
          <w:tcPr>
            <w:tcW w:w="1974" w:type="dxa"/>
          </w:tcPr>
          <w:p w14:paraId="21766538" w14:textId="756EA6AA"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24</w:t>
            </w:r>
          </w:p>
        </w:tc>
        <w:tc>
          <w:tcPr>
            <w:tcW w:w="3058" w:type="dxa"/>
          </w:tcPr>
          <w:p w14:paraId="544A9266" w14:textId="4A7FA951"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840</w:t>
            </w:r>
          </w:p>
        </w:tc>
        <w:tc>
          <w:tcPr>
            <w:tcW w:w="3351" w:type="dxa"/>
          </w:tcPr>
          <w:p w14:paraId="5615E9A4" w14:textId="6C5E13F0"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63613B22"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1E75851B" w14:textId="77777777" w:rsidR="00764BB9" w:rsidRDefault="00764BB9" w:rsidP="00F76D97">
            <w:pPr>
              <w:pStyle w:val="TableText"/>
            </w:pPr>
          </w:p>
        </w:tc>
        <w:tc>
          <w:tcPr>
            <w:tcW w:w="1974" w:type="dxa"/>
          </w:tcPr>
          <w:p w14:paraId="1D8020C5" w14:textId="30FCC5DD"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48</w:t>
            </w:r>
          </w:p>
        </w:tc>
        <w:tc>
          <w:tcPr>
            <w:tcW w:w="3058" w:type="dxa"/>
          </w:tcPr>
          <w:p w14:paraId="4ABECAE4" w14:textId="1E8F5B99"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899</w:t>
            </w:r>
          </w:p>
        </w:tc>
        <w:tc>
          <w:tcPr>
            <w:tcW w:w="3351" w:type="dxa"/>
          </w:tcPr>
          <w:p w14:paraId="5775F5BD" w14:textId="702FD672"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-15</w:t>
            </w:r>
          </w:p>
        </w:tc>
      </w:tr>
      <w:tr w:rsidR="00764BB9" w14:paraId="3FB092FA"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4F510D6E" w14:textId="77777777" w:rsidR="00764BB9" w:rsidRDefault="00764BB9" w:rsidP="00F76D97">
            <w:pPr>
              <w:pStyle w:val="TableText"/>
            </w:pPr>
          </w:p>
        </w:tc>
        <w:tc>
          <w:tcPr>
            <w:tcW w:w="1974" w:type="dxa"/>
          </w:tcPr>
          <w:p w14:paraId="737D0535" w14:textId="0FB7AE8A"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60</w:t>
            </w:r>
          </w:p>
        </w:tc>
        <w:tc>
          <w:tcPr>
            <w:tcW w:w="3058" w:type="dxa"/>
          </w:tcPr>
          <w:p w14:paraId="36A1E137" w14:textId="7CB9C7E2"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944</w:t>
            </w:r>
          </w:p>
        </w:tc>
        <w:tc>
          <w:tcPr>
            <w:tcW w:w="3351" w:type="dxa"/>
          </w:tcPr>
          <w:p w14:paraId="1E3DB0B3" w14:textId="7642C1C8"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7CB9A835"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A80D5EF" w14:textId="543FCF1F" w:rsidR="00764BB9" w:rsidRPr="00B46BEF" w:rsidRDefault="00764BB9" w:rsidP="00F76D97">
            <w:pPr>
              <w:pStyle w:val="TableText"/>
              <w:rPr>
                <w:b/>
              </w:rPr>
            </w:pPr>
            <w:r>
              <w:t>SA</w:t>
            </w:r>
          </w:p>
        </w:tc>
        <w:tc>
          <w:tcPr>
            <w:tcW w:w="1974" w:type="dxa"/>
            <w:hideMark/>
          </w:tcPr>
          <w:p w14:paraId="1B9C0F30" w14:textId="5C7AE82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w:t>
            </w:r>
          </w:p>
        </w:tc>
        <w:tc>
          <w:tcPr>
            <w:tcW w:w="3058" w:type="dxa"/>
          </w:tcPr>
          <w:p w14:paraId="5B7062B5" w14:textId="7A1104EC"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342</w:t>
            </w:r>
          </w:p>
        </w:tc>
        <w:tc>
          <w:tcPr>
            <w:tcW w:w="3351" w:type="dxa"/>
            <w:hideMark/>
          </w:tcPr>
          <w:p w14:paraId="4CFF645A" w14:textId="30AF4249"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-15</w:t>
            </w:r>
          </w:p>
        </w:tc>
      </w:tr>
      <w:tr w:rsidR="00764BB9" w14:paraId="28082B89"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1B684376" w14:textId="77777777" w:rsidR="00764BB9" w:rsidRDefault="00764BB9" w:rsidP="00F76D97">
            <w:pPr>
              <w:pStyle w:val="TableText"/>
            </w:pPr>
          </w:p>
        </w:tc>
        <w:tc>
          <w:tcPr>
            <w:tcW w:w="1974" w:type="dxa"/>
          </w:tcPr>
          <w:p w14:paraId="09F0BE71" w14:textId="722A1C80"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w:t>
            </w:r>
          </w:p>
        </w:tc>
        <w:tc>
          <w:tcPr>
            <w:tcW w:w="3058" w:type="dxa"/>
          </w:tcPr>
          <w:p w14:paraId="4CEA9536" w14:textId="79F6C7E5"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389</w:t>
            </w:r>
          </w:p>
        </w:tc>
        <w:tc>
          <w:tcPr>
            <w:tcW w:w="3351" w:type="dxa"/>
          </w:tcPr>
          <w:p w14:paraId="73C6ADD8" w14:textId="4E8EB24D"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-5</w:t>
            </w:r>
          </w:p>
        </w:tc>
      </w:tr>
      <w:tr w:rsidR="00764BB9" w14:paraId="4E08DD18"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47BDA600" w14:textId="77777777" w:rsidR="00764BB9" w:rsidRDefault="00764BB9" w:rsidP="00F76D97">
            <w:pPr>
              <w:pStyle w:val="TableText"/>
            </w:pPr>
          </w:p>
        </w:tc>
        <w:tc>
          <w:tcPr>
            <w:tcW w:w="1974" w:type="dxa"/>
          </w:tcPr>
          <w:p w14:paraId="51961D6D" w14:textId="54945B00"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24</w:t>
            </w:r>
          </w:p>
        </w:tc>
        <w:tc>
          <w:tcPr>
            <w:tcW w:w="3058" w:type="dxa"/>
          </w:tcPr>
          <w:p w14:paraId="4FC94BF2" w14:textId="0B5F8744"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409</w:t>
            </w:r>
          </w:p>
        </w:tc>
        <w:tc>
          <w:tcPr>
            <w:tcW w:w="3351" w:type="dxa"/>
          </w:tcPr>
          <w:p w14:paraId="06F3B239" w14:textId="535B0E43"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-40</w:t>
            </w:r>
          </w:p>
        </w:tc>
      </w:tr>
      <w:tr w:rsidR="00764BB9" w14:paraId="6B737D2A"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3D962FD1" w14:textId="77777777" w:rsidR="00764BB9" w:rsidRDefault="00764BB9" w:rsidP="00F76D97">
            <w:pPr>
              <w:pStyle w:val="TableText"/>
            </w:pPr>
          </w:p>
        </w:tc>
        <w:tc>
          <w:tcPr>
            <w:tcW w:w="1974" w:type="dxa"/>
          </w:tcPr>
          <w:p w14:paraId="45B53387" w14:textId="5A73FC9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48</w:t>
            </w:r>
          </w:p>
        </w:tc>
        <w:tc>
          <w:tcPr>
            <w:tcW w:w="3058" w:type="dxa"/>
          </w:tcPr>
          <w:p w14:paraId="7D7AC11E" w14:textId="6AD504E8"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525</w:t>
            </w:r>
          </w:p>
        </w:tc>
        <w:tc>
          <w:tcPr>
            <w:tcW w:w="3351" w:type="dxa"/>
          </w:tcPr>
          <w:p w14:paraId="53868A46" w14:textId="673EF575"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-45</w:t>
            </w:r>
          </w:p>
        </w:tc>
      </w:tr>
      <w:tr w:rsidR="00764BB9" w14:paraId="1C41CD23"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6871F547" w14:textId="77777777" w:rsidR="00764BB9" w:rsidRDefault="00764BB9" w:rsidP="00F76D97">
            <w:pPr>
              <w:pStyle w:val="TableText"/>
            </w:pPr>
          </w:p>
        </w:tc>
        <w:tc>
          <w:tcPr>
            <w:tcW w:w="1974" w:type="dxa"/>
          </w:tcPr>
          <w:p w14:paraId="76DB878C" w14:textId="2EAF2FA3"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60</w:t>
            </w:r>
          </w:p>
        </w:tc>
        <w:tc>
          <w:tcPr>
            <w:tcW w:w="3058" w:type="dxa"/>
          </w:tcPr>
          <w:p w14:paraId="2CF3B0E7" w14:textId="092A23E2"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552</w:t>
            </w:r>
          </w:p>
        </w:tc>
        <w:tc>
          <w:tcPr>
            <w:tcW w:w="3351" w:type="dxa"/>
          </w:tcPr>
          <w:p w14:paraId="5EEBEF22" w14:textId="755B7087"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-50</w:t>
            </w:r>
          </w:p>
        </w:tc>
      </w:tr>
      <w:tr w:rsidR="00764BB9" w14:paraId="35F4DCDE"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7976FF73" w14:textId="635651B5" w:rsidR="00764BB9" w:rsidRPr="00B46BEF" w:rsidRDefault="00764BB9" w:rsidP="00F76D97">
            <w:pPr>
              <w:pStyle w:val="TableText"/>
              <w:rPr>
                <w:b/>
              </w:rPr>
            </w:pPr>
            <w:r>
              <w:t>TAS</w:t>
            </w:r>
          </w:p>
        </w:tc>
        <w:tc>
          <w:tcPr>
            <w:tcW w:w="1974" w:type="dxa"/>
            <w:hideMark/>
          </w:tcPr>
          <w:p w14:paraId="6532C4E7" w14:textId="5B233753"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w:t>
            </w:r>
          </w:p>
        </w:tc>
        <w:tc>
          <w:tcPr>
            <w:tcW w:w="3058" w:type="dxa"/>
          </w:tcPr>
          <w:p w14:paraId="08CACC82" w14:textId="4FF8E1E1"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180</w:t>
            </w:r>
          </w:p>
        </w:tc>
        <w:tc>
          <w:tcPr>
            <w:tcW w:w="3351" w:type="dxa"/>
            <w:hideMark/>
          </w:tcPr>
          <w:p w14:paraId="67B8C1EF" w14:textId="4AB505C3"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27C8BDB9"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6C909CEE" w14:textId="77777777" w:rsidR="00764BB9" w:rsidRDefault="00764BB9" w:rsidP="00F76D97">
            <w:pPr>
              <w:pStyle w:val="TableText"/>
            </w:pPr>
          </w:p>
        </w:tc>
        <w:tc>
          <w:tcPr>
            <w:tcW w:w="1974" w:type="dxa"/>
          </w:tcPr>
          <w:p w14:paraId="02E15445" w14:textId="710E522D"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w:t>
            </w:r>
          </w:p>
        </w:tc>
        <w:tc>
          <w:tcPr>
            <w:tcW w:w="3058" w:type="dxa"/>
          </w:tcPr>
          <w:p w14:paraId="12A7B45D" w14:textId="19FE51E0"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199</w:t>
            </w:r>
          </w:p>
        </w:tc>
        <w:tc>
          <w:tcPr>
            <w:tcW w:w="3351" w:type="dxa"/>
          </w:tcPr>
          <w:p w14:paraId="196A8DA5" w14:textId="1DAAE3E8"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3F4CF196"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74EE58F5" w14:textId="77777777" w:rsidR="00764BB9" w:rsidRDefault="00764BB9" w:rsidP="00F76D97">
            <w:pPr>
              <w:pStyle w:val="TableText"/>
            </w:pPr>
          </w:p>
        </w:tc>
        <w:tc>
          <w:tcPr>
            <w:tcW w:w="1974" w:type="dxa"/>
          </w:tcPr>
          <w:p w14:paraId="76D795A7" w14:textId="4D737F2F"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24</w:t>
            </w:r>
          </w:p>
        </w:tc>
        <w:tc>
          <w:tcPr>
            <w:tcW w:w="3058" w:type="dxa"/>
          </w:tcPr>
          <w:p w14:paraId="2C3B27D8" w14:textId="4C97CFBF"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175</w:t>
            </w:r>
          </w:p>
        </w:tc>
        <w:tc>
          <w:tcPr>
            <w:tcW w:w="3351" w:type="dxa"/>
          </w:tcPr>
          <w:p w14:paraId="4795222D" w14:textId="3FF5FB7F"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54D252F7"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76727569" w14:textId="77777777" w:rsidR="00764BB9" w:rsidRDefault="00764BB9" w:rsidP="00F76D97">
            <w:pPr>
              <w:pStyle w:val="TableText"/>
            </w:pPr>
          </w:p>
        </w:tc>
        <w:tc>
          <w:tcPr>
            <w:tcW w:w="1974" w:type="dxa"/>
          </w:tcPr>
          <w:p w14:paraId="200F2718" w14:textId="62E30B35"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48</w:t>
            </w:r>
          </w:p>
        </w:tc>
        <w:tc>
          <w:tcPr>
            <w:tcW w:w="3058" w:type="dxa"/>
          </w:tcPr>
          <w:p w14:paraId="30A538C7" w14:textId="7709B643"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199</w:t>
            </w:r>
          </w:p>
        </w:tc>
        <w:tc>
          <w:tcPr>
            <w:tcW w:w="3351" w:type="dxa"/>
          </w:tcPr>
          <w:p w14:paraId="005B9791" w14:textId="5ABE0429"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38F19644"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3C3F6759" w14:textId="77777777" w:rsidR="00764BB9" w:rsidRDefault="00764BB9" w:rsidP="00F76D97">
            <w:pPr>
              <w:pStyle w:val="TableText"/>
            </w:pPr>
          </w:p>
        </w:tc>
        <w:tc>
          <w:tcPr>
            <w:tcW w:w="1974" w:type="dxa"/>
          </w:tcPr>
          <w:p w14:paraId="676C9E04" w14:textId="3B31E7FD"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60</w:t>
            </w:r>
          </w:p>
        </w:tc>
        <w:tc>
          <w:tcPr>
            <w:tcW w:w="3058" w:type="dxa"/>
          </w:tcPr>
          <w:p w14:paraId="405CBE5B" w14:textId="4AA22D6A"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209</w:t>
            </w:r>
          </w:p>
        </w:tc>
        <w:tc>
          <w:tcPr>
            <w:tcW w:w="3351" w:type="dxa"/>
          </w:tcPr>
          <w:p w14:paraId="4CF6F3BE" w14:textId="46B28E9B"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No change</w:t>
            </w:r>
          </w:p>
        </w:tc>
      </w:tr>
      <w:tr w:rsidR="00764BB9" w14:paraId="0AA1EB49"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6DC45032" w14:textId="00CC00C0" w:rsidR="00764BB9" w:rsidRDefault="00764BB9" w:rsidP="00F76D97">
            <w:pPr>
              <w:pStyle w:val="TableText"/>
            </w:pPr>
            <w:r>
              <w:t>VIC</w:t>
            </w:r>
          </w:p>
        </w:tc>
        <w:tc>
          <w:tcPr>
            <w:tcW w:w="1974" w:type="dxa"/>
          </w:tcPr>
          <w:p w14:paraId="1F4591E4" w14:textId="78AAE365"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w:t>
            </w:r>
          </w:p>
        </w:tc>
        <w:tc>
          <w:tcPr>
            <w:tcW w:w="3058" w:type="dxa"/>
          </w:tcPr>
          <w:p w14:paraId="24678D93" w14:textId="4B15B7DC"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761</w:t>
            </w:r>
          </w:p>
        </w:tc>
        <w:tc>
          <w:tcPr>
            <w:tcW w:w="3351" w:type="dxa"/>
          </w:tcPr>
          <w:p w14:paraId="4AFA97E4" w14:textId="44C2E239"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-30</w:t>
            </w:r>
          </w:p>
        </w:tc>
      </w:tr>
      <w:tr w:rsidR="00764BB9" w14:paraId="013C12D3"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4EFBD3E4" w14:textId="77777777" w:rsidR="00764BB9" w:rsidRDefault="00764BB9" w:rsidP="00F76D97">
            <w:pPr>
              <w:pStyle w:val="TableText"/>
            </w:pPr>
          </w:p>
        </w:tc>
        <w:tc>
          <w:tcPr>
            <w:tcW w:w="1974" w:type="dxa"/>
          </w:tcPr>
          <w:p w14:paraId="2DFCA7C6" w14:textId="4EE2831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12</w:t>
            </w:r>
          </w:p>
        </w:tc>
        <w:tc>
          <w:tcPr>
            <w:tcW w:w="3058" w:type="dxa"/>
          </w:tcPr>
          <w:p w14:paraId="5D2769DF" w14:textId="1B3B4DD0"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881</w:t>
            </w:r>
          </w:p>
        </w:tc>
        <w:tc>
          <w:tcPr>
            <w:tcW w:w="3351" w:type="dxa"/>
          </w:tcPr>
          <w:p w14:paraId="50BD1784" w14:textId="036D7974"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-40</w:t>
            </w:r>
          </w:p>
        </w:tc>
      </w:tr>
      <w:tr w:rsidR="00764BB9" w14:paraId="0E8B5BF9"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7B2D1FAC" w14:textId="77777777" w:rsidR="00764BB9" w:rsidRDefault="00764BB9" w:rsidP="00F76D97">
            <w:pPr>
              <w:pStyle w:val="TableText"/>
            </w:pPr>
          </w:p>
        </w:tc>
        <w:tc>
          <w:tcPr>
            <w:tcW w:w="1974" w:type="dxa"/>
          </w:tcPr>
          <w:p w14:paraId="0D2514A1" w14:textId="62CCEACA"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24</w:t>
            </w:r>
          </w:p>
        </w:tc>
        <w:tc>
          <w:tcPr>
            <w:tcW w:w="3058" w:type="dxa"/>
          </w:tcPr>
          <w:p w14:paraId="6C68236B" w14:textId="1B669373"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890</w:t>
            </w:r>
          </w:p>
        </w:tc>
        <w:tc>
          <w:tcPr>
            <w:tcW w:w="3351" w:type="dxa"/>
          </w:tcPr>
          <w:p w14:paraId="629523CD" w14:textId="19D91B54"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-45</w:t>
            </w:r>
          </w:p>
        </w:tc>
      </w:tr>
      <w:tr w:rsidR="00764BB9" w14:paraId="34B4BED7"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19DA231" w14:textId="77777777" w:rsidR="00764BB9" w:rsidRDefault="00764BB9" w:rsidP="00F76D97">
            <w:pPr>
              <w:pStyle w:val="TableText"/>
            </w:pPr>
          </w:p>
        </w:tc>
        <w:tc>
          <w:tcPr>
            <w:tcW w:w="1974" w:type="dxa"/>
          </w:tcPr>
          <w:p w14:paraId="27640606" w14:textId="6A583FDE"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48</w:t>
            </w:r>
          </w:p>
        </w:tc>
        <w:tc>
          <w:tcPr>
            <w:tcW w:w="3058" w:type="dxa"/>
          </w:tcPr>
          <w:p w14:paraId="5C64DA80" w14:textId="4933763F"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1093</w:t>
            </w:r>
          </w:p>
        </w:tc>
        <w:tc>
          <w:tcPr>
            <w:tcW w:w="3351" w:type="dxa"/>
          </w:tcPr>
          <w:p w14:paraId="4347CDF3" w14:textId="38FA243B"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-65</w:t>
            </w:r>
          </w:p>
        </w:tc>
      </w:tr>
      <w:tr w:rsidR="00764BB9" w14:paraId="73D1ADB1" w14:textId="77777777" w:rsidTr="00764BB9">
        <w:tc>
          <w:tcPr>
            <w:cnfStyle w:val="001000000000" w:firstRow="0" w:lastRow="0" w:firstColumn="1" w:lastColumn="0" w:oddVBand="0" w:evenVBand="0" w:oddHBand="0" w:evenHBand="0" w:firstRowFirstColumn="0" w:firstRowLastColumn="0" w:lastRowFirstColumn="0" w:lastRowLastColumn="0"/>
            <w:tcW w:w="1029" w:type="dxa"/>
          </w:tcPr>
          <w:p w14:paraId="5FF9A085" w14:textId="77777777" w:rsidR="00764BB9" w:rsidRDefault="00764BB9" w:rsidP="00F76D97">
            <w:pPr>
              <w:pStyle w:val="TableText"/>
            </w:pPr>
          </w:p>
        </w:tc>
        <w:tc>
          <w:tcPr>
            <w:tcW w:w="1974" w:type="dxa"/>
          </w:tcPr>
          <w:p w14:paraId="068FF4E6" w14:textId="5697047C" w:rsidR="00764BB9" w:rsidRPr="00B46BEF" w:rsidRDefault="00764BB9" w:rsidP="00F76D97">
            <w:pPr>
              <w:pStyle w:val="TableText"/>
              <w:cnfStyle w:val="000000000000" w:firstRow="0" w:lastRow="0" w:firstColumn="0" w:lastColumn="0" w:oddVBand="0" w:evenVBand="0" w:oddHBand="0" w:evenHBand="0" w:firstRowFirstColumn="0" w:firstRowLastColumn="0" w:lastRowFirstColumn="0" w:lastRowLastColumn="0"/>
            </w:pPr>
            <w:r>
              <w:t>60</w:t>
            </w:r>
          </w:p>
        </w:tc>
        <w:tc>
          <w:tcPr>
            <w:tcW w:w="3058" w:type="dxa"/>
          </w:tcPr>
          <w:p w14:paraId="5C9532B5" w14:textId="564C3610"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1170</w:t>
            </w:r>
          </w:p>
        </w:tc>
        <w:tc>
          <w:tcPr>
            <w:tcW w:w="3351" w:type="dxa"/>
          </w:tcPr>
          <w:p w14:paraId="5BB2C237" w14:textId="6F4CC68B" w:rsidR="00764BB9" w:rsidRPr="00B46BEF" w:rsidRDefault="00C8094C" w:rsidP="00F76D97">
            <w:pPr>
              <w:pStyle w:val="TableText"/>
              <w:cnfStyle w:val="000000000000" w:firstRow="0" w:lastRow="0" w:firstColumn="0" w:lastColumn="0" w:oddVBand="0" w:evenVBand="0" w:oddHBand="0" w:evenHBand="0" w:firstRowFirstColumn="0" w:firstRowLastColumn="0" w:lastRowFirstColumn="0" w:lastRowLastColumn="0"/>
            </w:pPr>
            <w:r>
              <w:t>-60</w:t>
            </w:r>
          </w:p>
        </w:tc>
      </w:tr>
    </w:tbl>
    <w:p w14:paraId="7B634772" w14:textId="77777777" w:rsidR="00D90084" w:rsidRDefault="00D90084" w:rsidP="006F362A">
      <w:pPr>
        <w:pStyle w:val="BodyText"/>
        <w:rPr>
          <w:lang w:val="en-GB"/>
        </w:rPr>
      </w:pPr>
    </w:p>
    <w:p w14:paraId="12629594" w14:textId="77777777" w:rsidR="00D90084" w:rsidRDefault="00D90084" w:rsidP="006F362A">
      <w:pPr>
        <w:pStyle w:val="BodyText"/>
        <w:rPr>
          <w:lang w:val="en-GB"/>
        </w:rPr>
      </w:pPr>
    </w:p>
    <w:p w14:paraId="34860FBE" w14:textId="37D0E6EF" w:rsidR="00C24A05" w:rsidRDefault="00C24A05" w:rsidP="006F362A">
      <w:pPr>
        <w:pStyle w:val="BodyText"/>
        <w:rPr>
          <w:lang w:val="en-GB"/>
        </w:rPr>
      </w:pPr>
    </w:p>
    <w:p w14:paraId="0DBD2FD7" w14:textId="77777777" w:rsidR="00315089" w:rsidRDefault="00315089" w:rsidP="00EF11C8">
      <w:pPr>
        <w:pStyle w:val="BodyText"/>
        <w:rPr>
          <w:lang w:val="en-GB" w:eastAsia="en-AU"/>
        </w:rPr>
      </w:pPr>
    </w:p>
    <w:p w14:paraId="348611AB" w14:textId="1F5560EE" w:rsidR="00641DE7" w:rsidRPr="003C1D97" w:rsidRDefault="00641DE7" w:rsidP="00545192">
      <w:pPr>
        <w:pStyle w:val="ListBullet"/>
        <w:numPr>
          <w:ilvl w:val="0"/>
          <w:numId w:val="0"/>
        </w:numPr>
        <w:ind w:left="170" w:hanging="170"/>
        <w:rPr>
          <w:lang w:val="en-GB"/>
        </w:rPr>
      </w:pPr>
    </w:p>
    <w:sectPr w:rsidR="00641DE7" w:rsidRPr="003C1D97" w:rsidSect="00C24A05">
      <w:footerReference w:type="default" r:id="rId19"/>
      <w:pgSz w:w="11906" w:h="16838" w:code="9"/>
      <w:pgMar w:top="1701" w:right="1247" w:bottom="1134" w:left="1247" w:header="709"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95485" w16cid:durableId="1E8C766E"/>
  <w16cid:commentId w16cid:paraId="05432BCA" w16cid:durableId="1E8C8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A65E" w14:textId="77777777" w:rsidR="00B34F04" w:rsidRDefault="00B34F04" w:rsidP="0097771C">
      <w:r>
        <w:separator/>
      </w:r>
    </w:p>
  </w:endnote>
  <w:endnote w:type="continuationSeparator" w:id="0">
    <w:p w14:paraId="70D5BB45" w14:textId="77777777" w:rsidR="00B34F04" w:rsidRDefault="00B34F04"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F11C8" w14:paraId="348611B2" w14:textId="77777777" w:rsidTr="00556A71">
      <w:tc>
        <w:tcPr>
          <w:tcW w:w="7797" w:type="dxa"/>
        </w:tcPr>
        <w:p w14:paraId="348611B0" w14:textId="68B7FADB" w:rsidR="00EF11C8" w:rsidRDefault="00EF11C8"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fldSimple w:instr=" STYLEREF  &quot;Cover - Title&quot; \l ">
            <w:r w:rsidR="00545192">
              <w:rPr>
                <w:noProof/>
              </w:rPr>
              <w:t>NEM Lack of Reserve Framework Retraining Report</w:t>
            </w:r>
          </w:fldSimple>
        </w:p>
      </w:tc>
      <w:tc>
        <w:tcPr>
          <w:tcW w:w="1615" w:type="dxa"/>
        </w:tcPr>
        <w:p w14:paraId="348611B1" w14:textId="56A9E63D" w:rsidR="00EF11C8" w:rsidRDefault="00EF11C8" w:rsidP="00974A42">
          <w:pPr>
            <w:pStyle w:val="Footer"/>
            <w:jc w:val="right"/>
          </w:pPr>
          <w:r>
            <w:fldChar w:fldCharType="begin"/>
          </w:r>
          <w:r>
            <w:instrText xml:space="preserve"> PAGE   \* MERGEFORMAT </w:instrText>
          </w:r>
          <w:r>
            <w:fldChar w:fldCharType="separate"/>
          </w:r>
          <w:r w:rsidR="00545192">
            <w:rPr>
              <w:noProof/>
            </w:rPr>
            <w:t>7</w:t>
          </w:r>
          <w:r>
            <w:rPr>
              <w:noProof/>
            </w:rPr>
            <w:fldChar w:fldCharType="end"/>
          </w:r>
        </w:p>
      </w:tc>
    </w:tr>
  </w:tbl>
  <w:p w14:paraId="348611B3" w14:textId="77777777" w:rsidR="00EF11C8" w:rsidRDefault="00EF1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F11C8" w14:paraId="348611B8" w14:textId="77777777" w:rsidTr="0085738D">
      <w:tc>
        <w:tcPr>
          <w:tcW w:w="4142" w:type="pct"/>
        </w:tcPr>
        <w:p w14:paraId="348611B6" w14:textId="3500C0AA" w:rsidR="00EF11C8" w:rsidRDefault="00EF11C8"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fldSimple w:instr=" STYLEREF  &quot;Cover - Title&quot; \l ">
            <w:r w:rsidR="004704FB">
              <w:rPr>
                <w:noProof/>
              </w:rPr>
              <w:t>NEM Lack of Reserve Framework Retraining Report</w:t>
            </w:r>
          </w:fldSimple>
        </w:p>
      </w:tc>
      <w:tc>
        <w:tcPr>
          <w:tcW w:w="858" w:type="pct"/>
        </w:tcPr>
        <w:p w14:paraId="348611B7" w14:textId="113D62D7" w:rsidR="00EF11C8" w:rsidRDefault="00EF11C8" w:rsidP="00974A42">
          <w:pPr>
            <w:pStyle w:val="Footer"/>
            <w:jc w:val="right"/>
          </w:pPr>
          <w:r>
            <w:fldChar w:fldCharType="begin"/>
          </w:r>
          <w:r>
            <w:instrText xml:space="preserve"> PAGE   \* MERGEFORMAT </w:instrText>
          </w:r>
          <w:r>
            <w:fldChar w:fldCharType="separate"/>
          </w:r>
          <w:r w:rsidR="004704FB">
            <w:rPr>
              <w:noProof/>
            </w:rPr>
            <w:t>8</w:t>
          </w:r>
          <w:r>
            <w:rPr>
              <w:noProof/>
            </w:rPr>
            <w:fldChar w:fldCharType="end"/>
          </w:r>
        </w:p>
      </w:tc>
    </w:tr>
  </w:tbl>
  <w:p w14:paraId="348611B9" w14:textId="77777777" w:rsidR="00EF11C8" w:rsidRDefault="00EF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A850" w14:textId="77777777" w:rsidR="00B34F04" w:rsidRDefault="00B34F04" w:rsidP="0097771C">
      <w:r>
        <w:separator/>
      </w:r>
    </w:p>
  </w:footnote>
  <w:footnote w:type="continuationSeparator" w:id="0">
    <w:p w14:paraId="1F13AEF1" w14:textId="77777777" w:rsidR="00B34F04" w:rsidRDefault="00B34F04" w:rsidP="0097771C">
      <w:r>
        <w:continuationSeparator/>
      </w:r>
    </w:p>
  </w:footnote>
  <w:footnote w:id="1">
    <w:p w14:paraId="17713904" w14:textId="11A00F00" w:rsidR="00DF1826" w:rsidRDefault="00DF1826">
      <w:pPr>
        <w:pStyle w:val="FootnoteText"/>
      </w:pPr>
      <w:r>
        <w:rPr>
          <w:rStyle w:val="FootnoteReference"/>
        </w:rPr>
        <w:footnoteRef/>
      </w:r>
      <w:r>
        <w:t xml:space="preserve"> Refer to </w:t>
      </w:r>
      <w:hyperlink r:id="rId1" w:history="1">
        <w:r w:rsidRPr="0046238C">
          <w:rPr>
            <w:rStyle w:val="Hyperlink"/>
          </w:rPr>
          <w:t>https://www.aemo.com.au/Electricity/National-Electricity-Market-NEM/Security-and-reliability/Power-system-operation/NEM-Lack-of-Reserve-Framework-Quarterly-Reports</w:t>
        </w:r>
      </w:hyperlink>
      <w:r>
        <w:t xml:space="preserve"> for NEM Lack of Reserve Framework Quarterly reports</w:t>
      </w:r>
    </w:p>
  </w:footnote>
  <w:footnote w:id="2">
    <w:p w14:paraId="12FE3E05" w14:textId="38B813BB" w:rsidR="005C710B" w:rsidRDefault="005C710B">
      <w:pPr>
        <w:pStyle w:val="FootnoteText"/>
      </w:pPr>
      <w:r>
        <w:rPr>
          <w:rStyle w:val="FootnoteReference"/>
        </w:rPr>
        <w:footnoteRef/>
      </w:r>
      <w:r>
        <w:t xml:space="preserve"> Refer to </w:t>
      </w:r>
      <w:hyperlink r:id="rId2" w:history="1">
        <w:r w:rsidRPr="008938EF">
          <w:rPr>
            <w:rStyle w:val="Hyperlink"/>
          </w:rPr>
          <w:t>https://www.aemo.com.au/Electricity/National-Electricity-Market-NEM/Security-and-reliability/Power-system-operation</w:t>
        </w:r>
      </w:hyperlink>
    </w:p>
  </w:footnote>
  <w:footnote w:id="3">
    <w:p w14:paraId="7849DBE7" w14:textId="77777777" w:rsidR="00371860" w:rsidRDefault="00371860" w:rsidP="00371860">
      <w:pPr>
        <w:pStyle w:val="FootnoteText"/>
      </w:pPr>
      <w:r>
        <w:rPr>
          <w:rStyle w:val="FootnoteReference"/>
        </w:rPr>
        <w:footnoteRef/>
      </w:r>
      <w:r>
        <w:t xml:space="preserve"> Published in the NEM Lack of Reserve Framework Report – quarter ending 31 March 2018 available at </w:t>
      </w:r>
      <w:hyperlink r:id="rId3" w:history="1">
        <w:r w:rsidRPr="0046238C">
          <w:rPr>
            <w:rStyle w:val="Hyperlink"/>
          </w:rPr>
          <w:t>https://www.aemo.com.au/Electricity/National-Electricity-Market-NEM/Security-and-reliability/Power-system-operation/NEM-Lack-of-Reserve-Framework-Quarterly-Reports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11B4" w14:textId="77777777" w:rsidR="00EF11C8" w:rsidRDefault="00EF11C8" w:rsidP="0097771C">
    <w:r>
      <w:rPr>
        <w:noProof/>
        <w:lang w:eastAsia="en-AU"/>
      </w:rPr>
      <w:drawing>
        <wp:anchor distT="0" distB="0" distL="114300" distR="114300" simplePos="0" relativeHeight="251678720" behindDoc="1" locked="1" layoutInCell="1" allowOverlap="1" wp14:anchorId="348611BA" wp14:editId="348611BB">
          <wp:simplePos x="0" y="0"/>
          <wp:positionH relativeFrom="page">
            <wp:align>center</wp:align>
          </wp:positionH>
          <wp:positionV relativeFrom="page">
            <wp:align>top</wp:align>
          </wp:positionV>
          <wp:extent cx="7555865" cy="10683875"/>
          <wp:effectExtent l="0" t="0" r="6985" b="3175"/>
          <wp:wrapNone/>
          <wp:docPr id="1073742066" name="Picture 107374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11B5" w14:textId="77777777" w:rsidR="00EF11C8" w:rsidRDefault="00EF11C8" w:rsidP="0097771C">
    <w:r>
      <w:rPr>
        <w:noProof/>
        <w:lang w:eastAsia="en-AU"/>
      </w:rPr>
      <mc:AlternateContent>
        <mc:Choice Requires="wpg">
          <w:drawing>
            <wp:anchor distT="0" distB="0" distL="114300" distR="114300" simplePos="0" relativeHeight="251682816" behindDoc="0" locked="1" layoutInCell="1" allowOverlap="1" wp14:anchorId="348611BC" wp14:editId="348611BD">
              <wp:simplePos x="0" y="0"/>
              <wp:positionH relativeFrom="page">
                <wp:align>left</wp:align>
              </wp:positionH>
              <wp:positionV relativeFrom="page">
                <wp:align>top</wp:align>
              </wp:positionV>
              <wp:extent cx="7560000" cy="10692000"/>
              <wp:effectExtent l="0" t="0" r="3175" b="0"/>
              <wp:wrapNone/>
              <wp:docPr id="148"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a:extLst/>
                      </wps:cNvPr>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a:extLst/>
                      </wps:cNvPr>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a:extLst/>
                      </wps:cNvPr>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a:extLst/>
                      </wps:cNvPr>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82B1B97"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Cy8EA&#10;AADcAAAADwAAAGRycy9kb3ducmV2LnhtbERPTWsCMRC9C/6HMIXeNNtSRFej1EJpiwdR2/uYjLtL&#10;N5MlibvrvzeC4G0e73MWq97WoiUfKscKXsYZCGLtTMWFgt/D52gKIkRkg7VjUnChAKvlcLDA3LiO&#10;d9TuYyFSCIccFZQxNrmUQZdkMYxdQ5y4k/MWY4K+kMZjl8JtLV+zbCItVpwaSmzooyT9vz9bBX/u&#10;tO6sPvJPe9lW56+N13q6Uer5qX+fg4jUx4f47v42af7bDG7Pp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svBAAAA3AAAAA8AAAAAAAAAAAAAAAAAmAIAAGRycy9kb3du&#10;cmV2LnhtbFBLBQYAAAAABAAEAPUAAACGAwAAAAA=&#10;" filled="f" stroked="f" strokeweight="1pt"/>
              <v:rect id="Rectangle 150" o:spid="_x0000_s1028" style="position:absolute;width:1797;height:106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9i8QA&#10;AADcAAAADwAAAGRycy9kb3ducmV2LnhtbESPT0sDMRDF74LfIYzgzWYVlLJttlRBVHoQW71Pk9k/&#10;dDNZknR3++2dg+Bthvfmvd+sN7Pv1UgxdYEN3C8KUMQ2uI4bA9+H17slqJSRHfaBycCFEmyq66s1&#10;li5M/EXjPjdKQjiVaKDNeSi1TrYlj2kRBmLR6hA9Zlljo13EScJ9rx+K4kl77FgaWhzopSV72p+9&#10;gZ9QP0/eHvljvHx257ddtHa5M+b2Zt6uQGWa87/57/rdCf6j4MszMo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fYvEAAAA3AAAAA8AAAAAAAAAAAAAAAAAmAIAAGRycy9k&#10;b3ducmV2LnhtbFBLBQYAAAAABAAEAPUAAACJAwAAAAA=&#10;" filled="f" stroked="f" strokeweight="1pt"/>
              <v:rect id="Rectangle 151" o:spid="_x0000_s1029" style="position:absolute;left:73798;width:1798;height:106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EMEA&#10;AADcAAAADwAAAGRycy9kb3ducmV2LnhtbERPS2sCMRC+F/wPYQRvNWvBIqtRVChaPJT6uI/JuLu4&#10;mSxJ3F3/fVMo9DYf33MWq97WoiUfKscKJuMMBLF2puJCwfn08ToDESKywdoxKXhSgNVy8LLA3LiO&#10;v6k9xkKkEA45KihjbHIpgy7JYhi7hjhxN+ctxgR9IY3HLoXbWr5l2bu0WHFqKLGhbUn6fnxYBRd3&#10;23RWX/mzfX5Vj93Baz07KDUa9us5iEh9/Bf/ufcmzZ9O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2BDBAAAA3AAAAA8AAAAAAAAAAAAAAAAAmAIAAGRycy9kb3du&#10;cmV2LnhtbFBLBQYAAAAABAAEAPUAAACGAwAAAAA=&#10;" filled="f" stroked="f" strokeweight="1pt"/>
              <v:rect id="Rectangle 152" o:spid="_x0000_s1030" style="position:absolute;top:105120;width:75596;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GZ8EA&#10;AADcAAAADwAAAGRycy9kb3ducmV2LnhtbERPS2sCMRC+F/wPYQRvNatgkdUoKkhbPJT6uI/JuLu4&#10;mSxJ3F3/fVMo9DYf33OW697WoiUfKscKJuMMBLF2puJCwfm0f52DCBHZYO2YFDwpwHo1eFliblzH&#10;39QeYyFSCIccFZQxNrmUQZdkMYxdQ5y4m/MWY4K+kMZjl8JtLadZ9iYtVpwaSmxoV5K+Hx9WwcXd&#10;tp3VV/5sn1/V4/3gtZ4flBoN+80CRKQ+/ov/3B8mzZ9N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9RmfBAAAA3AAAAA8AAAAAAAAAAAAAAAAAmAIAAGRycy9kb3du&#10;cmV2LnhtbFBLBQYAAAAABAAEAPUAAACGAwAAAAA=&#10;" filled="f" stroked="f" strokeweight="1pt"/>
              <w10:wrap anchorx="page" anchory="page"/>
              <w10:anchorlock/>
            </v:group>
          </w:pict>
        </mc:Fallback>
      </mc:AlternateContent>
    </w:r>
    <w:r w:rsidRPr="00D102A8">
      <w:rPr>
        <w:noProof/>
        <w:lang w:eastAsia="en-AU"/>
      </w:rPr>
      <mc:AlternateContent>
        <mc:Choice Requires="wps">
          <w:drawing>
            <wp:anchor distT="0" distB="0" distL="114300" distR="114300" simplePos="0" relativeHeight="251680768" behindDoc="1" locked="1" layoutInCell="1" allowOverlap="0" wp14:anchorId="348611BE" wp14:editId="348611BF">
              <wp:simplePos x="786809" y="446567"/>
              <wp:positionH relativeFrom="page">
                <wp:align>left</wp:align>
              </wp:positionH>
              <wp:positionV relativeFrom="page">
                <wp:align>top</wp:align>
              </wp:positionV>
              <wp:extent cx="7560000" cy="10692000"/>
              <wp:effectExtent l="0" t="0" r="3175" b="0"/>
              <wp:wrapNone/>
              <wp:docPr id="1073742067"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1"/>
                          </a:gs>
                          <a:gs pos="100000">
                            <a:schemeClr val="accent2"/>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468F6" id="Rectangle 2" o:spid="_x0000_s1026" style="position:absolute;margin-left:0;margin-top:0;width:595.3pt;height:841.9pt;z-index:-2516357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" o:allowoverlap="f" fillcolor="#c41230 [3204]" stroked="f" strokeweight="1pt">
              <v:fill color2="#360f3c [3205]" angle="45" focus="100%" type="gradient">
                <o:fill v:ext="view" type="gradientUnscaled"/>
              </v:fill>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65E9D2C"/>
    <w:lvl w:ilvl="0">
      <w:start w:val="1"/>
      <w:numFmt w:val="lowerRoman"/>
      <w:pStyle w:val="ListNumber3"/>
      <w:lvlText w:val="%1."/>
      <w:lvlJc w:val="right"/>
      <w:pPr>
        <w:ind w:left="1154" w:hanging="360"/>
      </w:pPr>
    </w:lvl>
  </w:abstractNum>
  <w:abstractNum w:abstractNumId="1" w15:restartNumberingAfterBreak="0">
    <w:nsid w:val="FFFFFF7F"/>
    <w:multiLevelType w:val="singleLevel"/>
    <w:tmpl w:val="808611BA"/>
    <w:lvl w:ilvl="0">
      <w:start w:val="1"/>
      <w:numFmt w:val="upperRoman"/>
      <w:pStyle w:val="ListNumber2"/>
      <w:lvlText w:val="%1."/>
      <w:lvlJc w:val="right"/>
      <w:pPr>
        <w:ind w:left="814" w:hanging="360"/>
      </w:pPr>
    </w:lvl>
  </w:abstractNum>
  <w:abstractNum w:abstractNumId="2" w15:restartNumberingAfterBreak="0">
    <w:nsid w:val="FFFFFF88"/>
    <w:multiLevelType w:val="singleLevel"/>
    <w:tmpl w:val="4E940354"/>
    <w:lvl w:ilvl="0">
      <w:start w:val="1"/>
      <w:numFmt w:val="decimal"/>
      <w:pStyle w:val="ListNumber"/>
      <w:lvlText w:val="%1."/>
      <w:lvlJc w:val="left"/>
      <w:pPr>
        <w:ind w:left="360" w:hanging="360"/>
      </w:pPr>
      <w:rPr>
        <w:rFonts w:hint="default"/>
        <w:color w:val="C41230" w:themeColor="accent1"/>
      </w:rPr>
    </w:lvl>
  </w:abstractNum>
  <w:abstractNum w:abstractNumId="3"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pStyle w:val="List-ABC3"/>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31CB"/>
    <w:multiLevelType w:val="multilevel"/>
    <w:tmpl w:val="6E3C6B58"/>
    <w:lvl w:ilvl="0">
      <w:start w:val="1"/>
      <w:numFmt w:val="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C3F4AC8"/>
    <w:multiLevelType w:val="multilevel"/>
    <w:tmpl w:val="F9B420B4"/>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794" w:hanging="79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207666"/>
    <w:multiLevelType w:val="hybridMultilevel"/>
    <w:tmpl w:val="73E452E0"/>
    <w:lvl w:ilvl="0" w:tplc="C7F6B228">
      <w:start w:val="1"/>
      <w:numFmt w:val="lowerLetter"/>
      <w:pStyle w:val="List-ABC2"/>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9" w15:restartNumberingAfterBreak="0">
    <w:nsid w:val="26FF2F9A"/>
    <w:multiLevelType w:val="multilevel"/>
    <w:tmpl w:val="62E462BE"/>
    <w:lvl w:ilvl="0">
      <w:start w:val="1"/>
      <w:numFmt w:val="bullet"/>
      <w:pStyle w:val="ListBullet"/>
      <w:lvlText w:val=""/>
      <w:lvlJc w:val="left"/>
      <w:pPr>
        <w:ind w:left="170" w:hanging="170"/>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A01F8"/>
    <w:multiLevelType w:val="hybridMultilevel"/>
    <w:tmpl w:val="E2E887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085DC6"/>
    <w:multiLevelType w:val="hybridMultilevel"/>
    <w:tmpl w:val="8D7E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E52306"/>
    <w:multiLevelType w:val="hybridMultilevel"/>
    <w:tmpl w:val="B6B24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0F4432"/>
    <w:multiLevelType w:val="hybridMultilevel"/>
    <w:tmpl w:val="163A35E6"/>
    <w:lvl w:ilvl="0" w:tplc="2C2ACB92">
      <w:start w:val="1"/>
      <w:numFmt w:val="upperLetter"/>
      <w:pStyle w:val="List-ABC"/>
      <w:lvlText w:val="%1."/>
      <w:lvlJc w:val="left"/>
      <w:pPr>
        <w:ind w:left="360" w:hanging="360"/>
      </w:pPr>
      <w:rPr>
        <w:rFonts w:hint="default"/>
        <w:color w:val="C41230" w:themeColor="accen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19"/>
  </w:num>
  <w:num w:numId="5">
    <w:abstractNumId w:val="2"/>
  </w:num>
  <w:num w:numId="6">
    <w:abstractNumId w:val="1"/>
  </w:num>
  <w:num w:numId="7">
    <w:abstractNumId w:val="0"/>
  </w:num>
  <w:num w:numId="8">
    <w:abstractNumId w:val="12"/>
  </w:num>
  <w:num w:numId="9">
    <w:abstractNumId w:val="11"/>
  </w:num>
  <w:num w:numId="10">
    <w:abstractNumId w:val="13"/>
  </w:num>
  <w:num w:numId="11">
    <w:abstractNumId w:val="8"/>
  </w:num>
  <w:num w:numId="12">
    <w:abstractNumId w:val="4"/>
  </w:num>
  <w:num w:numId="13">
    <w:abstractNumId w:val="15"/>
  </w:num>
  <w:num w:numId="14">
    <w:abstractNumId w:val="5"/>
  </w:num>
  <w:num w:numId="15">
    <w:abstractNumId w:val="16"/>
  </w:num>
  <w:num w:numId="16">
    <w:abstractNumId w:val="10"/>
  </w:num>
  <w:num w:numId="17">
    <w:abstractNumId w:val="3"/>
  </w:num>
  <w:num w:numId="18">
    <w:abstractNumId w:val="17"/>
  </w:num>
  <w:num w:numId="19">
    <w:abstractNumId w:val="14"/>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CC"/>
    <w:rsid w:val="0002444C"/>
    <w:rsid w:val="00047C75"/>
    <w:rsid w:val="00051531"/>
    <w:rsid w:val="00055A4C"/>
    <w:rsid w:val="0006133B"/>
    <w:rsid w:val="00071D05"/>
    <w:rsid w:val="00077CE3"/>
    <w:rsid w:val="0008468A"/>
    <w:rsid w:val="000863F7"/>
    <w:rsid w:val="000B1AE0"/>
    <w:rsid w:val="000D3C21"/>
    <w:rsid w:val="000E45AB"/>
    <w:rsid w:val="000E4B65"/>
    <w:rsid w:val="00101B12"/>
    <w:rsid w:val="001273D1"/>
    <w:rsid w:val="00140B12"/>
    <w:rsid w:val="00141788"/>
    <w:rsid w:val="0015165B"/>
    <w:rsid w:val="001521A0"/>
    <w:rsid w:val="00161CEA"/>
    <w:rsid w:val="001836E2"/>
    <w:rsid w:val="00190755"/>
    <w:rsid w:val="00193546"/>
    <w:rsid w:val="001B3F9E"/>
    <w:rsid w:val="001B44D7"/>
    <w:rsid w:val="001C605F"/>
    <w:rsid w:val="001D22CE"/>
    <w:rsid w:val="001E6AF0"/>
    <w:rsid w:val="00215A8B"/>
    <w:rsid w:val="0022778D"/>
    <w:rsid w:val="002358CA"/>
    <w:rsid w:val="00272159"/>
    <w:rsid w:val="002834D8"/>
    <w:rsid w:val="00296D15"/>
    <w:rsid w:val="0029793F"/>
    <w:rsid w:val="002B613F"/>
    <w:rsid w:val="002C0AEA"/>
    <w:rsid w:val="002E49F8"/>
    <w:rsid w:val="002F6164"/>
    <w:rsid w:val="00311D60"/>
    <w:rsid w:val="00315089"/>
    <w:rsid w:val="00316D5A"/>
    <w:rsid w:val="003236EF"/>
    <w:rsid w:val="003332E2"/>
    <w:rsid w:val="003361E6"/>
    <w:rsid w:val="00340D04"/>
    <w:rsid w:val="00355B59"/>
    <w:rsid w:val="00357FDC"/>
    <w:rsid w:val="00364BEF"/>
    <w:rsid w:val="00371860"/>
    <w:rsid w:val="00381BDE"/>
    <w:rsid w:val="00390552"/>
    <w:rsid w:val="00391139"/>
    <w:rsid w:val="00391D79"/>
    <w:rsid w:val="00393252"/>
    <w:rsid w:val="003B05F3"/>
    <w:rsid w:val="003C1D97"/>
    <w:rsid w:val="003C2CA6"/>
    <w:rsid w:val="003C4E0A"/>
    <w:rsid w:val="003E135F"/>
    <w:rsid w:val="003E1744"/>
    <w:rsid w:val="004022C8"/>
    <w:rsid w:val="00415508"/>
    <w:rsid w:val="00416640"/>
    <w:rsid w:val="00420B6F"/>
    <w:rsid w:val="0042378C"/>
    <w:rsid w:val="00431C66"/>
    <w:rsid w:val="0043462F"/>
    <w:rsid w:val="0044593D"/>
    <w:rsid w:val="0045231C"/>
    <w:rsid w:val="004666D0"/>
    <w:rsid w:val="004704FB"/>
    <w:rsid w:val="004821F8"/>
    <w:rsid w:val="00492581"/>
    <w:rsid w:val="00496291"/>
    <w:rsid w:val="004B5A95"/>
    <w:rsid w:val="004F2DC4"/>
    <w:rsid w:val="005012FB"/>
    <w:rsid w:val="005109E2"/>
    <w:rsid w:val="00513471"/>
    <w:rsid w:val="00514AFB"/>
    <w:rsid w:val="00527165"/>
    <w:rsid w:val="005375D4"/>
    <w:rsid w:val="00545192"/>
    <w:rsid w:val="00556A71"/>
    <w:rsid w:val="00557401"/>
    <w:rsid w:val="00562218"/>
    <w:rsid w:val="0056336A"/>
    <w:rsid w:val="00591965"/>
    <w:rsid w:val="005965BC"/>
    <w:rsid w:val="005A1023"/>
    <w:rsid w:val="005A3ED8"/>
    <w:rsid w:val="005B7F44"/>
    <w:rsid w:val="005C1A15"/>
    <w:rsid w:val="005C1F4D"/>
    <w:rsid w:val="005C6F7E"/>
    <w:rsid w:val="005C710B"/>
    <w:rsid w:val="005E2B6C"/>
    <w:rsid w:val="005E54AA"/>
    <w:rsid w:val="00600CD4"/>
    <w:rsid w:val="006258EF"/>
    <w:rsid w:val="006270F8"/>
    <w:rsid w:val="00641DE7"/>
    <w:rsid w:val="00642678"/>
    <w:rsid w:val="00644488"/>
    <w:rsid w:val="00665ECA"/>
    <w:rsid w:val="00667F91"/>
    <w:rsid w:val="00670DC6"/>
    <w:rsid w:val="006751A1"/>
    <w:rsid w:val="00695C78"/>
    <w:rsid w:val="006B5CDF"/>
    <w:rsid w:val="006D53A5"/>
    <w:rsid w:val="006E728F"/>
    <w:rsid w:val="006F362A"/>
    <w:rsid w:val="00705D96"/>
    <w:rsid w:val="007061C1"/>
    <w:rsid w:val="00724310"/>
    <w:rsid w:val="00727321"/>
    <w:rsid w:val="00736102"/>
    <w:rsid w:val="007426A4"/>
    <w:rsid w:val="007434C5"/>
    <w:rsid w:val="00744C4C"/>
    <w:rsid w:val="00750864"/>
    <w:rsid w:val="00764BB9"/>
    <w:rsid w:val="00770D6D"/>
    <w:rsid w:val="007772EE"/>
    <w:rsid w:val="007A3778"/>
    <w:rsid w:val="007A7C98"/>
    <w:rsid w:val="007B1CBF"/>
    <w:rsid w:val="007C7258"/>
    <w:rsid w:val="007D0DD2"/>
    <w:rsid w:val="007F08BC"/>
    <w:rsid w:val="00803CAE"/>
    <w:rsid w:val="0081699C"/>
    <w:rsid w:val="00837E75"/>
    <w:rsid w:val="00843D82"/>
    <w:rsid w:val="008447DE"/>
    <w:rsid w:val="00844FD9"/>
    <w:rsid w:val="0085131F"/>
    <w:rsid w:val="0085738D"/>
    <w:rsid w:val="008579CC"/>
    <w:rsid w:val="00877222"/>
    <w:rsid w:val="00885352"/>
    <w:rsid w:val="0088683A"/>
    <w:rsid w:val="008A53CD"/>
    <w:rsid w:val="008A6693"/>
    <w:rsid w:val="008E2D71"/>
    <w:rsid w:val="008F410B"/>
    <w:rsid w:val="00903946"/>
    <w:rsid w:val="0090571F"/>
    <w:rsid w:val="00907407"/>
    <w:rsid w:val="009250EE"/>
    <w:rsid w:val="0092762D"/>
    <w:rsid w:val="0095703D"/>
    <w:rsid w:val="009612F1"/>
    <w:rsid w:val="00962681"/>
    <w:rsid w:val="009651B7"/>
    <w:rsid w:val="00974A42"/>
    <w:rsid w:val="00975DBB"/>
    <w:rsid w:val="00976B57"/>
    <w:rsid w:val="0097771C"/>
    <w:rsid w:val="00986195"/>
    <w:rsid w:val="0099318C"/>
    <w:rsid w:val="00994D31"/>
    <w:rsid w:val="009B2C88"/>
    <w:rsid w:val="009D42CB"/>
    <w:rsid w:val="009E7A8C"/>
    <w:rsid w:val="00A041E2"/>
    <w:rsid w:val="00A21AC3"/>
    <w:rsid w:val="00A36D71"/>
    <w:rsid w:val="00A4083A"/>
    <w:rsid w:val="00A44D74"/>
    <w:rsid w:val="00A4560E"/>
    <w:rsid w:val="00A46BF3"/>
    <w:rsid w:val="00A50094"/>
    <w:rsid w:val="00A50605"/>
    <w:rsid w:val="00A55540"/>
    <w:rsid w:val="00A729AA"/>
    <w:rsid w:val="00A74627"/>
    <w:rsid w:val="00A94F88"/>
    <w:rsid w:val="00AA016B"/>
    <w:rsid w:val="00AB046B"/>
    <w:rsid w:val="00AC0260"/>
    <w:rsid w:val="00AC462E"/>
    <w:rsid w:val="00AD2060"/>
    <w:rsid w:val="00AD2781"/>
    <w:rsid w:val="00AD323E"/>
    <w:rsid w:val="00AE3780"/>
    <w:rsid w:val="00B05D54"/>
    <w:rsid w:val="00B07DDC"/>
    <w:rsid w:val="00B153AF"/>
    <w:rsid w:val="00B254B3"/>
    <w:rsid w:val="00B3407D"/>
    <w:rsid w:val="00B34F04"/>
    <w:rsid w:val="00B35761"/>
    <w:rsid w:val="00B54F53"/>
    <w:rsid w:val="00B62674"/>
    <w:rsid w:val="00B62CA1"/>
    <w:rsid w:val="00B642AD"/>
    <w:rsid w:val="00B668D9"/>
    <w:rsid w:val="00B67A87"/>
    <w:rsid w:val="00B70D0C"/>
    <w:rsid w:val="00B90439"/>
    <w:rsid w:val="00BA63A4"/>
    <w:rsid w:val="00BA792D"/>
    <w:rsid w:val="00BE4CD4"/>
    <w:rsid w:val="00BF0E5F"/>
    <w:rsid w:val="00C13613"/>
    <w:rsid w:val="00C24A05"/>
    <w:rsid w:val="00C30273"/>
    <w:rsid w:val="00C8094C"/>
    <w:rsid w:val="00C8273C"/>
    <w:rsid w:val="00CA7C11"/>
    <w:rsid w:val="00CB3494"/>
    <w:rsid w:val="00CC30BA"/>
    <w:rsid w:val="00CC7CDB"/>
    <w:rsid w:val="00CD084D"/>
    <w:rsid w:val="00CE5E7B"/>
    <w:rsid w:val="00CE7904"/>
    <w:rsid w:val="00CF0DA0"/>
    <w:rsid w:val="00CF6156"/>
    <w:rsid w:val="00D05D5D"/>
    <w:rsid w:val="00D101AD"/>
    <w:rsid w:val="00D102A8"/>
    <w:rsid w:val="00D108A2"/>
    <w:rsid w:val="00D167C9"/>
    <w:rsid w:val="00D23ED8"/>
    <w:rsid w:val="00D61226"/>
    <w:rsid w:val="00D61948"/>
    <w:rsid w:val="00D619CE"/>
    <w:rsid w:val="00D80650"/>
    <w:rsid w:val="00D90084"/>
    <w:rsid w:val="00D937CA"/>
    <w:rsid w:val="00D95CF0"/>
    <w:rsid w:val="00DB3D31"/>
    <w:rsid w:val="00DB4311"/>
    <w:rsid w:val="00DE0F2F"/>
    <w:rsid w:val="00DE4D26"/>
    <w:rsid w:val="00DF1826"/>
    <w:rsid w:val="00DF313E"/>
    <w:rsid w:val="00E11D22"/>
    <w:rsid w:val="00E21021"/>
    <w:rsid w:val="00E25C5D"/>
    <w:rsid w:val="00E31575"/>
    <w:rsid w:val="00E3495C"/>
    <w:rsid w:val="00E5662C"/>
    <w:rsid w:val="00E5780D"/>
    <w:rsid w:val="00E634EF"/>
    <w:rsid w:val="00E66CA4"/>
    <w:rsid w:val="00E72BB1"/>
    <w:rsid w:val="00E943E8"/>
    <w:rsid w:val="00EC275E"/>
    <w:rsid w:val="00ED30DD"/>
    <w:rsid w:val="00EE0364"/>
    <w:rsid w:val="00EF11C8"/>
    <w:rsid w:val="00F01308"/>
    <w:rsid w:val="00F1054C"/>
    <w:rsid w:val="00F167DE"/>
    <w:rsid w:val="00F40640"/>
    <w:rsid w:val="00F51C76"/>
    <w:rsid w:val="00F56CAA"/>
    <w:rsid w:val="00F606CC"/>
    <w:rsid w:val="00F679E5"/>
    <w:rsid w:val="00F74187"/>
    <w:rsid w:val="00F873AF"/>
    <w:rsid w:val="00F94D25"/>
    <w:rsid w:val="00FA6140"/>
    <w:rsid w:val="00FD1382"/>
    <w:rsid w:val="00FD59A9"/>
    <w:rsid w:val="00FE3031"/>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4860F5B"/>
  <w14:defaultImageDpi w14:val="150"/>
  <w15:chartTrackingRefBased/>
  <w15:docId w15:val="{E5C25431-4DB0-4E6D-AD82-4AFC6AD9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71D05"/>
    <w:rPr>
      <w:rFonts w:cs="Arial Unicode MS"/>
      <w:bCs/>
      <w:color w:val="222324" w:themeColor="text1"/>
      <w:sz w:val="20"/>
      <w:szCs w:val="20"/>
    </w:rPr>
  </w:style>
  <w:style w:type="paragraph" w:styleId="Heading1">
    <w:name w:val="heading 1"/>
    <w:next w:val="BodyText"/>
    <w:link w:val="Heading1Char"/>
    <w:uiPriority w:val="9"/>
    <w:qFormat/>
    <w:rsid w:val="004F2DC4"/>
    <w:pPr>
      <w:pageBreakBefore/>
      <w:numPr>
        <w:numId w:val="3"/>
      </w:numPr>
      <w:spacing w:after="1600" w:line="216" w:lineRule="auto"/>
      <w:ind w:left="1021" w:hanging="1021"/>
      <w:outlineLvl w:val="0"/>
    </w:pPr>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styleId="Heading2">
    <w:name w:val="heading 2"/>
    <w:next w:val="BodyText"/>
    <w:link w:val="Heading2Char"/>
    <w:uiPriority w:val="9"/>
    <w:unhideWhenUsed/>
    <w:qFormat/>
    <w:rsid w:val="00907407"/>
    <w:pPr>
      <w:keepNext/>
      <w:keepLines/>
      <w:numPr>
        <w:ilvl w:val="1"/>
        <w:numId w:val="3"/>
      </w:numPr>
      <w:spacing w:before="320" w:line="264" w:lineRule="auto"/>
      <w:ind w:left="794" w:hanging="794"/>
      <w:outlineLvl w:val="1"/>
    </w:pPr>
    <w:rPr>
      <w:rFonts w:eastAsia="+mj-ea" w:cs="Arial Unicode MS"/>
      <w:bCs/>
      <w:color w:val="360F3C" w:themeColor="accent2"/>
      <w:kern w:val="24"/>
      <w:sz w:val="32"/>
      <w:szCs w:val="32"/>
    </w:rPr>
  </w:style>
  <w:style w:type="paragraph" w:styleId="Heading3">
    <w:name w:val="heading 3"/>
    <w:next w:val="BodyText"/>
    <w:link w:val="Heading3Char"/>
    <w:uiPriority w:val="9"/>
    <w:unhideWhenUsed/>
    <w:qFormat/>
    <w:rsid w:val="00727321"/>
    <w:pPr>
      <w:keepNext/>
      <w:keepLines/>
      <w:numPr>
        <w:ilvl w:val="2"/>
        <w:numId w:val="3"/>
      </w:numPr>
      <w:spacing w:before="160" w:line="264" w:lineRule="auto"/>
      <w:outlineLvl w:val="2"/>
    </w:pPr>
    <w:rPr>
      <w:rFonts w:eastAsiaTheme="majorEastAsia" w:cstheme="majorBidi"/>
      <w:bCs/>
      <w:color w:val="360F3C" w:themeColor="accent2"/>
      <w:sz w:val="24"/>
      <w:szCs w:val="24"/>
    </w:rPr>
  </w:style>
  <w:style w:type="paragraph" w:styleId="Heading4">
    <w:name w:val="heading 4"/>
    <w:next w:val="BodyText"/>
    <w:link w:val="Heading4Char"/>
    <w:uiPriority w:val="9"/>
    <w:unhideWhenUsed/>
    <w:qFormat/>
    <w:rsid w:val="00705D96"/>
    <w:pPr>
      <w:keepNext/>
      <w:keepLines/>
      <w:spacing w:before="240" w:after="60"/>
      <w:outlineLvl w:val="3"/>
    </w:pPr>
    <w:rPr>
      <w:rFonts w:asciiTheme="majorHAnsi" w:hAnsiTheme="majorHAnsi" w:cs="Arial Unicode MS"/>
      <w:b/>
      <w:bCs/>
      <w:color w:val="222324" w:themeColor="text1"/>
      <w:sz w:val="20"/>
      <w:szCs w:val="20"/>
      <w:lang w:val="en-GB"/>
    </w:rPr>
  </w:style>
  <w:style w:type="paragraph" w:styleId="Heading5">
    <w:name w:val="heading 5"/>
    <w:next w:val="BodyText"/>
    <w:link w:val="Heading5Char"/>
    <w:uiPriority w:val="9"/>
    <w:unhideWhenUsed/>
    <w:qFormat/>
    <w:rsid w:val="00705D96"/>
    <w:pPr>
      <w:keepNext/>
      <w:keepLines/>
      <w:spacing w:before="240" w:after="60"/>
      <w:outlineLvl w:val="4"/>
    </w:pPr>
    <w:rPr>
      <w:rFonts w:asciiTheme="majorHAnsi" w:eastAsiaTheme="majorEastAsia" w:hAnsiTheme="majorHAnsi" w:cstheme="majorBidi"/>
      <w:b/>
      <w:bCs/>
      <w:color w:val="C41230" w:themeColor="accent1"/>
      <w:sz w:val="20"/>
      <w:szCs w:val="20"/>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05D96"/>
    <w:rPr>
      <w:rFonts w:asciiTheme="majorHAnsi" w:hAnsiTheme="majorHAnsi"/>
      <w:b/>
      <w:color w:val="C41230" w:themeColor="accent1"/>
      <w:sz w:val="36"/>
    </w:rPr>
  </w:style>
  <w:style w:type="character" w:customStyle="1" w:styleId="Heading2Char">
    <w:name w:val="Heading 2 Char"/>
    <w:basedOn w:val="DefaultParagraphFont"/>
    <w:link w:val="Heading2"/>
    <w:uiPriority w:val="9"/>
    <w:rsid w:val="00907407"/>
    <w:rPr>
      <w:rFonts w:eastAsia="+mj-ea" w:cs="Arial Unicode MS"/>
      <w:bCs/>
      <w:color w:val="360F3C" w:themeColor="accent2"/>
      <w:kern w:val="24"/>
      <w:sz w:val="32"/>
      <w:szCs w:val="32"/>
    </w:rPr>
  </w:style>
  <w:style w:type="character" w:customStyle="1" w:styleId="Cover-DateChar">
    <w:name w:val="Cover - Date Char"/>
    <w:basedOn w:val="DefaultParagraphFont"/>
    <w:link w:val="Cover-Date"/>
    <w:uiPriority w:val="99"/>
    <w:rsid w:val="006258EF"/>
    <w:rPr>
      <w:rFonts w:asciiTheme="majorHAnsi" w:hAnsiTheme="majorHAnsi"/>
      <w:b/>
      <w:color w:val="C41230" w:themeColor="accent1"/>
      <w:sz w:val="36"/>
    </w:rPr>
  </w:style>
  <w:style w:type="paragraph" w:customStyle="1" w:styleId="Cover-Subtitle">
    <w:name w:val="Cover - Subtitle"/>
    <w:next w:val="Cover-SubtitleWhite"/>
    <w:link w:val="Cover-SubtitleChar"/>
    <w:uiPriority w:val="99"/>
    <w:rsid w:val="00877222"/>
    <w:pPr>
      <w:spacing w:line="216" w:lineRule="auto"/>
    </w:pPr>
    <w:rPr>
      <w:color w:val="C41230" w:themeColor="accent1"/>
      <w:sz w:val="44"/>
    </w:rPr>
  </w:style>
  <w:style w:type="paragraph" w:customStyle="1" w:styleId="Cover-SubtitleWhite">
    <w:name w:val="Cover - Subtitle White"/>
    <w:basedOn w:val="Cover-Date"/>
    <w:uiPriority w:val="99"/>
    <w:rsid w:val="00705D96"/>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6258EF"/>
    <w:rPr>
      <w:color w:val="C41230" w:themeColor="accent1"/>
      <w:sz w:val="44"/>
    </w:rPr>
  </w:style>
  <w:style w:type="character" w:customStyle="1" w:styleId="Heading1Char">
    <w:name w:val="Heading 1 Char"/>
    <w:basedOn w:val="DefaultParagraphFont"/>
    <w:link w:val="Heading1"/>
    <w:uiPriority w:val="9"/>
    <w:rsid w:val="004F2DC4"/>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customStyle="1" w:styleId="ImportantNotice-Subheading">
    <w:name w:val="Important Notice - Subheading"/>
    <w:next w:val="ImportantNotice-Body"/>
    <w:uiPriority w:val="99"/>
    <w:rsid w:val="00705D96"/>
    <w:pPr>
      <w:spacing w:before="300" w:after="60" w:line="264" w:lineRule="auto"/>
    </w:pPr>
    <w:rPr>
      <w:rFonts w:asciiTheme="majorHAnsi" w:hAnsiTheme="majorHAnsi"/>
      <w:b/>
      <w:caps/>
      <w:color w:val="FFFFFF" w:themeColor="background1"/>
      <w:szCs w:val="20"/>
    </w:rPr>
  </w:style>
  <w:style w:type="paragraph" w:customStyle="1" w:styleId="ImportantNotice-Body">
    <w:name w:val="Important Notice - Body"/>
    <w:uiPriority w:val="99"/>
    <w:rsid w:val="00E25C5D"/>
    <w:pPr>
      <w:spacing w:before="100" w:after="60" w:line="264" w:lineRule="auto"/>
    </w:pPr>
    <w:rPr>
      <w:color w:val="FFFFFF" w:themeColor="background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White">
    <w:name w:val="Heading - White"/>
    <w:next w:val="BodyText"/>
    <w:uiPriority w:val="99"/>
    <w:rsid w:val="00705D96"/>
    <w:pPr>
      <w:spacing w:after="1600"/>
    </w:pPr>
    <w:rPr>
      <w:rFonts w:asciiTheme="majorHAnsi" w:eastAsia="+mj-ea" w:hAnsiTheme="majorHAnsi" w:cs="+mj-cs"/>
      <w:b/>
      <w:color w:val="FFFFFF" w:themeColor="background1"/>
      <w:kern w:val="24"/>
      <w:sz w:val="72"/>
      <w:szCs w:val="72"/>
    </w:rPr>
  </w:style>
  <w:style w:type="paragraph" w:customStyle="1" w:styleId="Cover-Title">
    <w:name w:val="Cover - Title"/>
    <w:uiPriority w:val="99"/>
    <w:rsid w:val="00E31575"/>
    <w:pPr>
      <w:spacing w:line="216" w:lineRule="auto"/>
      <w:ind w:right="567"/>
    </w:pPr>
    <w:rPr>
      <w:rFonts w:asciiTheme="majorHAnsi" w:hAnsiTheme="majorHAnsi"/>
      <w:b/>
      <w:color w:val="FFFFFF" w:themeColor="background1"/>
      <w:sz w:val="120"/>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Id w:val="2"/>
      </w:numPr>
    </w:pPr>
  </w:style>
  <w:style w:type="paragraph" w:styleId="ListBullet3">
    <w:name w:val="List Bullet 3"/>
    <w:basedOn w:val="ListBullet2"/>
    <w:qFormat/>
    <w:rsid w:val="00CC7CDB"/>
    <w:pPr>
      <w:numPr>
        <w:ilvl w:val="2"/>
      </w:numPr>
      <w:ind w:left="426" w:hanging="142"/>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next w:val="BodyText"/>
    <w:uiPriority w:val="39"/>
    <w:unhideWhenUsed/>
    <w:rsid w:val="004F2DC4"/>
    <w:pPr>
      <w:keepNext/>
      <w:keepLines/>
      <w:spacing w:before="600" w:after="200"/>
    </w:pPr>
    <w:rPr>
      <w:rFonts w:asciiTheme="majorHAnsi" w:eastAsia="+mj-ea" w:hAnsiTheme="majorHAnsi" w:cs="+mj-cs"/>
      <w:b/>
      <w:color w:val="C41230"/>
      <w:kern w:val="24"/>
      <w:sz w:val="48"/>
      <w:szCs w:val="48"/>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AC0260"/>
    <w:pPr>
      <w:tabs>
        <w:tab w:val="left" w:pos="567"/>
        <w:tab w:val="right" w:pos="9402"/>
      </w:tabs>
      <w:spacing w:before="160" w:after="100"/>
    </w:pPr>
    <w:rPr>
      <w:rFonts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727321"/>
    <w:rPr>
      <w:rFonts w:eastAsiaTheme="majorEastAsia" w:cstheme="majorBidi"/>
      <w:bCs/>
      <w:color w:val="360F3C" w:themeColor="accent2"/>
      <w:sz w:val="24"/>
      <w:szCs w:val="24"/>
    </w:rPr>
  </w:style>
  <w:style w:type="paragraph" w:customStyle="1" w:styleId="Heading-NoNumber">
    <w:name w:val="Heading - No Number"/>
    <w:next w:val="BodyText"/>
    <w:uiPriority w:val="10"/>
    <w:qFormat/>
    <w:rsid w:val="00705D96"/>
    <w:pPr>
      <w:pageBreakBefore/>
      <w:spacing w:after="1600" w:line="216" w:lineRule="auto"/>
    </w:pPr>
    <w:rPr>
      <w:rFonts w:asciiTheme="majorHAnsi" w:eastAsia="+mj-ea" w:hAnsiTheme="majorHAnsi" w:cs="+mj-cs"/>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character" w:customStyle="1" w:styleId="Heading4Char">
    <w:name w:val="Heading 4 Char"/>
    <w:basedOn w:val="DefaultParagraphFont"/>
    <w:link w:val="Heading4"/>
    <w:uiPriority w:val="9"/>
    <w:rsid w:val="00705D96"/>
    <w:rPr>
      <w:rFonts w:asciiTheme="majorHAnsi" w:hAnsiTheme="majorHAnsi" w:cs="Arial Unicode MS"/>
      <w:b/>
      <w:bCs/>
      <w:color w:val="222324" w:themeColor="text1"/>
      <w:sz w:val="20"/>
      <w:szCs w:val="20"/>
      <w:lang w:val="en-GB"/>
    </w:rPr>
  </w:style>
  <w:style w:type="paragraph" w:customStyle="1" w:styleId="List-ABC">
    <w:name w:val="List - ABC"/>
    <w:uiPriority w:val="7"/>
    <w:rsid w:val="001B3F9E"/>
    <w:pPr>
      <w:numPr>
        <w:numId w:val="4"/>
      </w:numPr>
      <w:spacing w:before="100" w:after="60"/>
      <w:ind w:left="340" w:hanging="34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5"/>
    <w:qFormat/>
    <w:rsid w:val="00B62674"/>
    <w:pPr>
      <w:spacing w:before="40" w:after="40"/>
    </w:pPr>
    <w:rPr>
      <w:rFonts w:eastAsia="Calibri" w:cs="Times New Roman"/>
      <w:color w:val="222324" w:themeColor="text1"/>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8447DE"/>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8447DE"/>
    <w:rPr>
      <w:rFonts w:cs="Arial Unicode MS"/>
      <w:bCs/>
      <w:color w:val="222324" w:themeColor="text1"/>
      <w:sz w:val="20"/>
      <w:szCs w:val="20"/>
    </w:rPr>
  </w:style>
  <w:style w:type="paragraph" w:customStyle="1" w:styleId="TableHeading">
    <w:name w:val="Table Heading"/>
    <w:uiPriority w:val="3"/>
    <w:qFormat/>
    <w:rsid w:val="00705D96"/>
    <w:pPr>
      <w:spacing w:before="60" w:after="60"/>
    </w:pPr>
    <w:rPr>
      <w:rFonts w:asciiTheme="majorHAnsi" w:eastAsia="Calibri" w:hAnsiTheme="majorHAnsi" w:cs="Times New Roman"/>
      <w:b/>
      <w:color w:val="222324" w:themeColor="text1"/>
      <w:sz w:val="16"/>
      <w:szCs w:val="24"/>
      <w:lang w:eastAsia="en-US"/>
    </w:rPr>
  </w:style>
  <w:style w:type="table" w:customStyle="1" w:styleId="AEMO1">
    <w:name w:val="AEMO1"/>
    <w:basedOn w:val="TableNormal"/>
    <w:uiPriority w:val="99"/>
    <w:rsid w:val="001B44D7"/>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FFFFFF" w:themeFill="background1"/>
    </w:tc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tblStylePr w:type="band1Vert">
      <w:tblPr/>
      <w:tcPr>
        <w:shd w:val="clear" w:color="auto" w:fill="F2F2F2" w:themeFill="background1" w:themeFillShade="F2"/>
      </w:tcPr>
    </w:tblStylePr>
  </w:style>
  <w:style w:type="paragraph" w:customStyle="1" w:styleId="TableBullet">
    <w:name w:val="Table Bullet"/>
    <w:uiPriority w:val="4"/>
    <w:qFormat/>
    <w:rsid w:val="00A4560E"/>
    <w:pPr>
      <w:numPr>
        <w:numId w:val="8"/>
      </w:numPr>
      <w:spacing w:after="40"/>
      <w:ind w:left="142" w:hanging="142"/>
      <w:contextualSpacing/>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A4560E"/>
    <w:pPr>
      <w:numPr>
        <w:numId w:val="9"/>
      </w:numPr>
      <w:ind w:left="284" w:hanging="142"/>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1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numId w:val="11"/>
      </w:numPr>
      <w:ind w:left="680" w:hanging="340"/>
      <w:contextualSpacing/>
    </w:pPr>
  </w:style>
  <w:style w:type="paragraph" w:customStyle="1" w:styleId="List-ABC3">
    <w:name w:val="List - ABC 3"/>
    <w:basedOn w:val="List-ABC2"/>
    <w:uiPriority w:val="7"/>
    <w:rsid w:val="00994D31"/>
    <w:pPr>
      <w:numPr>
        <w:numId w:val="12"/>
      </w:numPr>
      <w:ind w:left="1020" w:hanging="340"/>
    </w:pPr>
  </w:style>
  <w:style w:type="paragraph" w:styleId="ListNumber">
    <w:name w:val="List Number"/>
    <w:uiPriority w:val="99"/>
    <w:qFormat/>
    <w:rsid w:val="001B3F9E"/>
    <w:pPr>
      <w:numPr>
        <w:numId w:val="5"/>
      </w:numPr>
      <w:spacing w:before="100" w:after="60"/>
      <w:ind w:left="340" w:hanging="340"/>
      <w:contextualSpacing/>
    </w:pPr>
    <w:rPr>
      <w:rFonts w:cs="Arial Unicode MS"/>
      <w:bCs/>
      <w:color w:val="222324" w:themeColor="text1"/>
      <w:sz w:val="20"/>
      <w:szCs w:val="20"/>
    </w:rPr>
  </w:style>
  <w:style w:type="paragraph" w:styleId="ListNumber2">
    <w:name w:val="List Number 2"/>
    <w:uiPriority w:val="99"/>
    <w:qFormat/>
    <w:rsid w:val="001B3F9E"/>
    <w:pPr>
      <w:numPr>
        <w:numId w:val="6"/>
      </w:numPr>
      <w:spacing w:before="100" w:after="60"/>
      <w:ind w:left="794" w:hanging="340"/>
      <w:contextualSpacing/>
    </w:pPr>
    <w:rPr>
      <w:rFonts w:cs="Arial Unicode MS"/>
      <w:bCs/>
      <w:color w:val="222324" w:themeColor="text1"/>
      <w:sz w:val="20"/>
      <w:szCs w:val="20"/>
    </w:rPr>
  </w:style>
  <w:style w:type="paragraph" w:styleId="ListNumber3">
    <w:name w:val="List Number 3"/>
    <w:uiPriority w:val="99"/>
    <w:qFormat/>
    <w:rsid w:val="001B3F9E"/>
    <w:pPr>
      <w:numPr>
        <w:numId w:val="7"/>
      </w:numPr>
      <w:spacing w:before="100" w:after="60"/>
      <w:ind w:left="1247" w:hanging="340"/>
      <w:contextualSpacing/>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05D96"/>
    <w:rPr>
      <w:rFonts w:asciiTheme="majorHAnsi" w:eastAsiaTheme="majorEastAsia" w:hAnsiTheme="majorHAnsi" w:cstheme="majorBidi"/>
      <w:b/>
      <w:bCs/>
      <w:color w:val="C41230" w:themeColor="accent1"/>
      <w:sz w:val="20"/>
      <w:szCs w:val="20"/>
    </w:rPr>
  </w:style>
  <w:style w:type="paragraph" w:customStyle="1" w:styleId="Heading-Appendix1">
    <w:name w:val="Heading - Appendix 1"/>
    <w:next w:val="BodyText"/>
    <w:uiPriority w:val="10"/>
    <w:qFormat/>
    <w:rsid w:val="004022C8"/>
    <w:pPr>
      <w:pageBreakBefore/>
      <w:numPr>
        <w:numId w:val="13"/>
      </w:numPr>
      <w:spacing w:after="1600" w:line="216" w:lineRule="auto"/>
    </w:pPr>
    <w:rPr>
      <w:rFonts w:asciiTheme="majorHAnsi" w:hAnsiTheme="majorHAnsi" w:cs="Arial Unicode MS"/>
      <w:b/>
      <w:bCs/>
      <w:color w:val="C41230" w:themeColor="accent1"/>
      <w:sz w:val="72"/>
      <w:szCs w:val="20"/>
      <w14:textFill>
        <w14:gradFill>
          <w14:gsLst>
            <w14:gs w14:pos="0">
              <w14:srgbClr w14:val="C41230"/>
            </w14:gs>
            <w14:gs w14:pos="100000">
              <w14:srgbClr w14:val="360F3C"/>
            </w14:gs>
          </w14:gsLst>
          <w14:lin w14:ang="2700000" w14:scaled="0"/>
        </w14:gradFill>
      </w14:textFill>
    </w:rPr>
  </w:style>
  <w:style w:type="paragraph" w:customStyle="1" w:styleId="Heading-Appendix2">
    <w:name w:val="Heading - Appendix 2"/>
    <w:next w:val="BodyText"/>
    <w:uiPriority w:val="10"/>
    <w:qFormat/>
    <w:rsid w:val="00E3495C"/>
    <w:pPr>
      <w:numPr>
        <w:ilvl w:val="1"/>
        <w:numId w:val="13"/>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13"/>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14"/>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D167C9"/>
    <w:pPr>
      <w:keepNext/>
      <w:numPr>
        <w:numId w:val="15"/>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976B57"/>
    <w:pPr>
      <w:spacing w:before="6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6"/>
      </w:numPr>
      <w:spacing w:after="240"/>
      <w:ind w:left="170" w:hanging="170"/>
    </w:pPr>
  </w:style>
  <w:style w:type="paragraph" w:customStyle="1" w:styleId="CaptionFigure">
    <w:name w:val="Caption Figure"/>
    <w:basedOn w:val="CaptionTable"/>
    <w:next w:val="BodyText"/>
    <w:uiPriority w:val="2"/>
    <w:qFormat/>
    <w:rsid w:val="00D167C9"/>
    <w:pPr>
      <w:numPr>
        <w:numId w:val="17"/>
      </w:numPr>
      <w:ind w:left="794" w:hanging="794"/>
    </w:pPr>
  </w:style>
  <w:style w:type="paragraph" w:styleId="TOC4">
    <w:name w:val="toc 4"/>
    <w:next w:val="BodyText"/>
    <w:autoRedefine/>
    <w:uiPriority w:val="39"/>
    <w:rsid w:val="009651B7"/>
    <w:pPr>
      <w:tabs>
        <w:tab w:val="left" w:pos="1021"/>
        <w:tab w:val="right" w:pos="9401"/>
      </w:tabs>
      <w:spacing w:after="120"/>
      <w:ind w:left="794" w:right="1134" w:hanging="794"/>
    </w:pPr>
    <w:rPr>
      <w:rFonts w:cs="Arial Unicode MS"/>
      <w:bCs/>
      <w:color w:val="222324" w:themeColor="text1"/>
      <w:sz w:val="20"/>
      <w:szCs w:val="20"/>
    </w:rPr>
  </w:style>
  <w:style w:type="character" w:customStyle="1" w:styleId="HyperlinkWhite">
    <w:name w:val="Hyperlink White"/>
    <w:basedOn w:val="DefaultParagraphFont"/>
    <w:uiPriority w:val="99"/>
    <w:rsid w:val="005A3ED8"/>
    <w:rPr>
      <w:color w:val="FFFFFF" w:themeColor="background1"/>
      <w:u w:val="single"/>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AD2781"/>
    <w:pPr>
      <w:spacing w:after="120"/>
      <w:ind w:left="283"/>
      <w:contextualSpacing/>
    </w:pPr>
  </w:style>
  <w:style w:type="character" w:styleId="FollowedHyperlink">
    <w:name w:val="FollowedHyperlink"/>
    <w:basedOn w:val="DefaultParagraphFont"/>
    <w:uiPriority w:val="99"/>
    <w:semiHidden/>
    <w:unhideWhenUsed/>
    <w:rsid w:val="00E11D22"/>
    <w:rPr>
      <w:color w:val="C41230" w:themeColor="followedHyperlink"/>
      <w:u w:val="single"/>
    </w:rPr>
  </w:style>
  <w:style w:type="table" w:customStyle="1" w:styleId="AEMOTable">
    <w:name w:val="AEMO Table"/>
    <w:basedOn w:val="TableNormal"/>
    <w:uiPriority w:val="99"/>
    <w:rsid w:val="00E11D22"/>
    <w:rPr>
      <w:rFonts w:eastAsiaTheme="minorHAnsi"/>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D1DDE0" w:themeFill="background2" w:themeFillShade="F2"/>
    </w:tcPr>
    <w:tblStylePr w:type="firstRow">
      <w:rPr>
        <w:b/>
      </w:rPr>
      <w:tblPr/>
      <w:trPr>
        <w:tblHeader/>
      </w:trPr>
      <w:tcPr>
        <w:shd w:val="clear" w:color="auto" w:fill="CCCED7" w:themeFill="accent5" w:themeFillTint="66"/>
      </w:tcPr>
    </w:tblStylePr>
    <w:tblStylePr w:type="firstCol">
      <w:rPr>
        <w:b/>
        <w:color w:val="FFFFFF" w:themeColor="background1"/>
      </w:rPr>
      <w:tblPr/>
      <w:tcPr>
        <w:shd w:val="clear" w:color="auto" w:fill="B3E0EE"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D1DDE0" w:themeFill="background2" w:themeFillShade="F2"/>
      </w:tcPr>
    </w:tblStylePr>
  </w:style>
  <w:style w:type="character" w:styleId="CommentReference">
    <w:name w:val="annotation reference"/>
    <w:basedOn w:val="DefaultParagraphFont"/>
    <w:uiPriority w:val="99"/>
    <w:semiHidden/>
    <w:unhideWhenUsed/>
    <w:rsid w:val="006E728F"/>
    <w:rPr>
      <w:sz w:val="16"/>
      <w:szCs w:val="16"/>
    </w:rPr>
  </w:style>
  <w:style w:type="paragraph" w:styleId="CommentText">
    <w:name w:val="annotation text"/>
    <w:basedOn w:val="Normal"/>
    <w:link w:val="CommentTextChar"/>
    <w:uiPriority w:val="99"/>
    <w:semiHidden/>
    <w:unhideWhenUsed/>
    <w:rsid w:val="006E728F"/>
  </w:style>
  <w:style w:type="character" w:customStyle="1" w:styleId="CommentTextChar">
    <w:name w:val="Comment Text Char"/>
    <w:basedOn w:val="DefaultParagraphFont"/>
    <w:link w:val="CommentText"/>
    <w:uiPriority w:val="99"/>
    <w:semiHidden/>
    <w:rsid w:val="006E728F"/>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E728F"/>
    <w:rPr>
      <w:b/>
    </w:rPr>
  </w:style>
  <w:style w:type="character" w:customStyle="1" w:styleId="CommentSubjectChar">
    <w:name w:val="Comment Subject Char"/>
    <w:basedOn w:val="CommentTextChar"/>
    <w:link w:val="CommentSubject"/>
    <w:uiPriority w:val="99"/>
    <w:semiHidden/>
    <w:rsid w:val="006E728F"/>
    <w:rPr>
      <w:rFonts w:cs="Arial Unicode MS"/>
      <w:b/>
      <w:bCs/>
      <w:color w:val="222324" w:themeColor="text1"/>
      <w:sz w:val="20"/>
      <w:szCs w:val="20"/>
    </w:rPr>
  </w:style>
  <w:style w:type="table" w:customStyle="1" w:styleId="AEMO">
    <w:name w:val="AEMO"/>
    <w:basedOn w:val="TableNormal"/>
    <w:uiPriority w:val="99"/>
    <w:rsid w:val="002834D8"/>
    <w:rPr>
      <w:sz w:val="16"/>
    </w:rPr>
    <w:tblPr>
      <w:tblBorders>
        <w:bottom w:val="single" w:sz="4" w:space="0" w:color="D9D9D9" w:themeColor="background1" w:themeShade="D9"/>
        <w:insideH w:val="single" w:sz="4" w:space="0" w:color="D9D9D9" w:themeColor="background1" w:themeShade="D9"/>
      </w:tblBorders>
      <w:tblCellMar>
        <w:top w:w="57" w:type="dxa"/>
        <w:bottom w:w="57" w:type="dxa"/>
      </w:tblCellMar>
    </w:tbl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style>
  <w:style w:type="paragraph" w:customStyle="1" w:styleId="TableTitle">
    <w:name w:val="Table Title"/>
    <w:basedOn w:val="BodyText"/>
    <w:uiPriority w:val="5"/>
    <w:qFormat/>
    <w:rsid w:val="002834D8"/>
    <w:pPr>
      <w:keepNext/>
      <w:spacing w:before="60"/>
    </w:pPr>
    <w:rPr>
      <w:rFonts w:eastAsiaTheme="minorHAnsi" w:cstheme="minorBidi"/>
      <w:bCs w:val="0"/>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p.forecasting@aemo.com.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emo.com.au/Privacy_and_Legal_Notices/Copyright_Permissions_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aemo.com.au/Electricity/National-Electricity-Market-NEM/Security-and-reliability/Power-system-operation/NEM-Lack-of-Reserve-Framework-Quarterly-Reports" TargetMode="External"/><Relationship Id="rId2" Type="http://schemas.openxmlformats.org/officeDocument/2006/relationships/hyperlink" Target="https://www.aemo.com.au/Electricity/National-Electricity-Market-NEM/Security-and-reliability/Power-system-operation" TargetMode="External"/><Relationship Id="rId1" Type="http://schemas.openxmlformats.org/officeDocument/2006/relationships/hyperlink" Target="https://www.aemo.com.au/Electricity/National-Electricity-Market-NEM/Security-and-reliability/Power-system-operation/NEM-Lack-of-Reserve-Framework-Quarterly-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2017%20templates\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034FF1FD34D4A94CFCE9B7A295AEF"/>
        <w:category>
          <w:name w:val="General"/>
          <w:gallery w:val="placeholder"/>
        </w:category>
        <w:types>
          <w:type w:val="bbPlcHdr"/>
        </w:types>
        <w:behaviors>
          <w:behavior w:val="content"/>
        </w:behaviors>
        <w:guid w:val="{D05D0D97-7E35-46EB-AF4C-CD0F793C5190}"/>
      </w:docPartPr>
      <w:docPartBody>
        <w:p w:rsidR="00D37B51" w:rsidRDefault="004D69C3">
          <w:pPr>
            <w:pStyle w:val="576034FF1FD34D4A94CFCE9B7A295AEF"/>
          </w:pPr>
          <w:r w:rsidRPr="00114E44">
            <w:rPr>
              <w:rStyle w:val="PlaceholderText"/>
            </w:rPr>
            <w:t>Click or tap here to enter text.</w:t>
          </w:r>
        </w:p>
      </w:docPartBody>
    </w:docPart>
    <w:docPart>
      <w:docPartPr>
        <w:name w:val="85550E7B51EC47C5A9A4E6E7B6AB59A9"/>
        <w:category>
          <w:name w:val="General"/>
          <w:gallery w:val="placeholder"/>
        </w:category>
        <w:types>
          <w:type w:val="bbPlcHdr"/>
        </w:types>
        <w:behaviors>
          <w:behavior w:val="content"/>
        </w:behaviors>
        <w:guid w:val="{C6316C38-998F-497E-9866-A7D71F38108B}"/>
      </w:docPartPr>
      <w:docPartBody>
        <w:p w:rsidR="00D37B51" w:rsidRDefault="004D69C3">
          <w:pPr>
            <w:pStyle w:val="85550E7B51EC47C5A9A4E6E7B6AB59A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C3"/>
    <w:rsid w:val="00292F76"/>
    <w:rsid w:val="004D69C3"/>
    <w:rsid w:val="006166EE"/>
    <w:rsid w:val="00863DB5"/>
    <w:rsid w:val="00937201"/>
    <w:rsid w:val="00C74279"/>
    <w:rsid w:val="00D37B51"/>
    <w:rsid w:val="00E56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6034FF1FD34D4A94CFCE9B7A295AEF">
    <w:name w:val="576034FF1FD34D4A94CFCE9B7A295AEF"/>
  </w:style>
  <w:style w:type="paragraph" w:customStyle="1" w:styleId="85550E7B51EC47C5A9A4E6E7B6AB59A9">
    <w:name w:val="85550E7B51EC47C5A9A4E6E7B6AB5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AEMODescription xmlns="a14523ce-dede-483e-883a-2d83261080bd" xsi:nil="true"/>
    <AEMOCustodian xmlns="a14523ce-dede-483e-883a-2d83261080bd">
      <UserInfo>
        <DisplayName/>
        <AccountId xsi:nil="true"/>
        <AccountType/>
      </UserInfo>
    </AEMOCustodian>
    <ArchiveDocument xmlns="a14523ce-dede-483e-883a-2d83261080bd">false</ArchiveDocument>
    <_dlc_DocId xmlns="a14523ce-dede-483e-883a-2d83261080bd">OPADEQUACY-8-21994</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_dlc_DocIdUrl xmlns="a14523ce-dede-483e-883a-2d83261080bd">
      <Url>http://sharedocs/sites/oa/_layouts/15/DocIdRedir.aspx?ID=OPADEQUACY-8-21994</Url>
      <Description>OPADEQUACY-8-21994</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697BA6BB19DB744494355487BE7F2BF2" ma:contentTypeVersion="35" ma:contentTypeDescription="" ma:contentTypeScope="" ma:versionID="e3507f4696660ae8f5ce14b00aab59bb">
  <xsd:schema xmlns:xsd="http://www.w3.org/2001/XMLSchema" xmlns:xs="http://www.w3.org/2001/XMLSchema" xmlns:p="http://schemas.microsoft.com/office/2006/metadata/properties" xmlns:ns2="a14523ce-dede-483e-883a-2d83261080bd" targetNamespace="http://schemas.microsoft.com/office/2006/metadata/properties" ma:root="true" ma:fieldsID="a2ba559e87326547b8cea16f11fa52b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c658119-b17e-4c19-a514-2f346957241f}" ma:internalName="TaxCatchAll" ma:showField="CatchAllData" ma:web="52affc09-c2cc-4a65-a71d-2aaac1eae66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c658119-b17e-4c19-a514-2f346957241f}" ma:internalName="TaxCatchAllLabel" ma:readOnly="true" ma:showField="CatchAllDataLabel" ma:web="52affc09-c2cc-4a65-a71d-2aaac1eae668">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7C75-74A0-42BF-9791-D419CD87CB72}">
  <ds:schemaRefs>
    <ds:schemaRef ds:uri="http://schemas.microsoft.com/sharepoint/v3/contenttype/forms"/>
  </ds:schemaRefs>
</ds:datastoreItem>
</file>

<file path=customXml/itemProps2.xml><?xml version="1.0" encoding="utf-8"?>
<ds:datastoreItem xmlns:ds="http://schemas.openxmlformats.org/officeDocument/2006/customXml" ds:itemID="{E252C67C-3474-4C4E-82DF-8483C02975DF}">
  <ds:schemaRefs>
    <ds:schemaRef ds:uri="Microsoft.SharePoint.Taxonomy.ContentTypeSync"/>
  </ds:schemaRefs>
</ds:datastoreItem>
</file>

<file path=customXml/itemProps3.xml><?xml version="1.0" encoding="utf-8"?>
<ds:datastoreItem xmlns:ds="http://schemas.openxmlformats.org/officeDocument/2006/customXml" ds:itemID="{DF3205CF-4A12-4C8B-A539-5266CBC32116}">
  <ds:schemaRefs>
    <ds:schemaRef ds:uri="a14523ce-dede-483e-883a-2d83261080bd"/>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82D43D5-59C9-4457-87BA-F9D12C8D63D3}">
  <ds:schemaRefs>
    <ds:schemaRef ds:uri="http://schemas.microsoft.com/office/2006/metadata/customXsn"/>
  </ds:schemaRefs>
</ds:datastoreItem>
</file>

<file path=customXml/itemProps5.xml><?xml version="1.0" encoding="utf-8"?>
<ds:datastoreItem xmlns:ds="http://schemas.openxmlformats.org/officeDocument/2006/customXml" ds:itemID="{827B3DCB-7B50-4F4D-90D5-23CF621E4264}">
  <ds:schemaRefs>
    <ds:schemaRef ds:uri="http://schemas.microsoft.com/sharepoint/events"/>
  </ds:schemaRefs>
</ds:datastoreItem>
</file>

<file path=customXml/itemProps6.xml><?xml version="1.0" encoding="utf-8"?>
<ds:datastoreItem xmlns:ds="http://schemas.openxmlformats.org/officeDocument/2006/customXml" ds:itemID="{9264B037-485F-4795-B1D3-82316E9C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3189A67-8B1B-4900-A650-594E980F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template</Template>
  <TotalTime>230</TotalTime>
  <Pages>8</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Fox</dc:creator>
  <cp:keywords/>
  <dc:description/>
  <cp:lastModifiedBy>Mark Miller</cp:lastModifiedBy>
  <cp:revision>21</cp:revision>
  <cp:lastPrinted>2018-01-24T23:30:00Z</cp:lastPrinted>
  <dcterms:created xsi:type="dcterms:W3CDTF">2018-06-05T04:24:00Z</dcterms:created>
  <dcterms:modified xsi:type="dcterms:W3CDTF">2018-06-20T00:41:00Z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ContentTypeId">
    <vt:lpwstr>0x0101009BE89D58CAF0934CA32A20BCFFD353DC00697BA6BB19DB744494355487BE7F2BF2</vt:lpwstr>
  </property>
  <property fmtid="{D5CDD505-2E9C-101B-9397-08002B2CF9AE}" pid="4" name="AEMOKeywords">
    <vt:lpwstr/>
  </property>
  <property fmtid="{D5CDD505-2E9C-101B-9397-08002B2CF9AE}" pid="5" name="_dlc_DocIdItemGuid">
    <vt:lpwstr>18e9195d-732b-4c5b-86a3-722e4355a128</vt:lpwstr>
  </property>
</Properties>
</file>