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52F6" w14:textId="76D4419C" w:rsidR="00307D90" w:rsidRDefault="00734844" w:rsidP="00307D90">
      <w:pPr>
        <w:pStyle w:val="Heading1"/>
        <w:rPr>
          <w:b/>
        </w:rPr>
      </w:pPr>
      <w:bookmarkStart w:id="0" w:name="_GoBack"/>
      <w:bookmarkEnd w:id="0"/>
      <w:r>
        <w:rPr>
          <w:b/>
        </w:rPr>
        <w:t>submission to</w:t>
      </w:r>
      <w:r w:rsidR="00F410CF">
        <w:rPr>
          <w:b/>
        </w:rPr>
        <w:t xml:space="preserve"> Consultation</w:t>
      </w:r>
    </w:p>
    <w:p w14:paraId="23207A17" w14:textId="77777777" w:rsidR="00D07327" w:rsidRPr="00491E51" w:rsidRDefault="00D07327" w:rsidP="00D07327">
      <w:pPr>
        <w:spacing w:line="240" w:lineRule="auto"/>
        <w:rPr>
          <w:color w:val="244061"/>
        </w:rPr>
      </w:pPr>
      <w:r w:rsidRPr="00491E51">
        <w:rPr>
          <w:color w:val="244061"/>
        </w:rPr>
        <w:t xml:space="preserve">National </w:t>
      </w:r>
      <w:r w:rsidR="00C81034">
        <w:rPr>
          <w:color w:val="244061"/>
        </w:rPr>
        <w:t>Gas</w:t>
      </w:r>
      <w:r w:rsidR="00C81034" w:rsidRPr="00491E51">
        <w:rPr>
          <w:color w:val="244061"/>
        </w:rPr>
        <w:t xml:space="preserve"> </w:t>
      </w:r>
      <w:r w:rsidRPr="00491E51">
        <w:rPr>
          <w:color w:val="244061"/>
        </w:rPr>
        <w:t xml:space="preserve">Rules – </w:t>
      </w:r>
      <w:r>
        <w:rPr>
          <w:color w:val="244061"/>
        </w:rPr>
        <w:t>Rule</w:t>
      </w:r>
      <w:r w:rsidRPr="00491E51">
        <w:rPr>
          <w:color w:val="244061"/>
        </w:rPr>
        <w:t xml:space="preserve"> </w:t>
      </w:r>
      <w:r w:rsidR="00C81034">
        <w:rPr>
          <w:color w:val="244061"/>
        </w:rPr>
        <w:t>9A</w:t>
      </w:r>
    </w:p>
    <w:p w14:paraId="2FF88C37" w14:textId="77777777" w:rsidR="00307D90" w:rsidRDefault="00B87CBD" w:rsidP="00307D90">
      <w:pPr>
        <w:pStyle w:val="Linespacer"/>
      </w:pPr>
      <w:r>
        <w:rPr>
          <w:noProof/>
        </w:rPr>
        <mc:AlternateContent>
          <mc:Choice Requires="wps">
            <w:drawing>
              <wp:inline distT="0" distB="0" distL="0" distR="0" wp14:anchorId="11687352" wp14:editId="6F1CD33F">
                <wp:extent cx="431800" cy="53975"/>
                <wp:effectExtent l="0" t="0" r="0" b="317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F7A27"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" fillcolor="#948671" stroked="f">
                <w10:anchorlock/>
              </v:rect>
            </w:pict>
          </mc:Fallback>
        </mc:AlternateContent>
      </w:r>
    </w:p>
    <w:p w14:paraId="6D27D4DF" w14:textId="77777777" w:rsidR="00F410CF" w:rsidRPr="003F14EE" w:rsidRDefault="00C81034" w:rsidP="00491E51">
      <w:pPr>
        <w:pStyle w:val="Heading2"/>
        <w:spacing w:line="240" w:lineRule="auto"/>
        <w:rPr>
          <w:b/>
          <w:color w:val="244061"/>
        </w:rPr>
      </w:pPr>
      <w:r>
        <w:rPr>
          <w:b/>
          <w:color w:val="244061"/>
        </w:rPr>
        <w:t>Gas market parameter review 2018</w:t>
      </w:r>
    </w:p>
    <w:p w14:paraId="03754644" w14:textId="05F4F015" w:rsidR="00673927" w:rsidRPr="00491E51" w:rsidRDefault="00B07917" w:rsidP="00EE5DC9">
      <w:pPr>
        <w:keepNext/>
        <w:spacing w:before="240" w:line="240" w:lineRule="auto"/>
        <w:rPr>
          <w:b/>
          <w:color w:val="244061"/>
        </w:rPr>
      </w:pPr>
      <w:r>
        <w:rPr>
          <w:b/>
          <w:color w:val="244061"/>
        </w:rPr>
        <w:t>Matter</w:t>
      </w:r>
      <w:r w:rsidR="002615AD">
        <w:rPr>
          <w:b/>
          <w:color w:val="244061"/>
        </w:rPr>
        <w:t>s</w:t>
      </w:r>
      <w:r>
        <w:rPr>
          <w:b/>
          <w:color w:val="244061"/>
        </w:rPr>
        <w:t xml:space="preserve"> under</w:t>
      </w:r>
      <w:r w:rsidR="00454EC3">
        <w:rPr>
          <w:b/>
          <w:color w:val="244061"/>
        </w:rPr>
        <w:t xml:space="preserve"> C</w:t>
      </w:r>
      <w:r w:rsidR="00C50A4E">
        <w:rPr>
          <w:b/>
          <w:color w:val="244061"/>
        </w:rPr>
        <w:t>onsultation</w:t>
      </w:r>
    </w:p>
    <w:p w14:paraId="331D4BB1" w14:textId="77777777" w:rsidR="00D836C4" w:rsidRPr="00D836C4" w:rsidRDefault="00D836C4" w:rsidP="00D836C4">
      <w:pPr>
        <w:pStyle w:val="BodyText"/>
      </w:pPr>
      <w:r w:rsidRPr="00D836C4">
        <w:t xml:space="preserve">AEMO is required to review the STTM market parameters in accordance with the extended consultative procedure as per section 9A of the NGR.  AEMO is required to complete this review by producing a final report setting out its final recommendations by 30 April 2018. </w:t>
      </w:r>
    </w:p>
    <w:p w14:paraId="05EDA357" w14:textId="77777777" w:rsidR="00D836C4" w:rsidRPr="00D836C4" w:rsidRDefault="00D836C4" w:rsidP="00D836C4">
      <w:pPr>
        <w:pStyle w:val="BodyText"/>
      </w:pPr>
      <w:r w:rsidRPr="00D836C4">
        <w:t>The review of the DWGM market parameters will adhere to this timetable.</w:t>
      </w:r>
    </w:p>
    <w:p w14:paraId="04B802CF" w14:textId="62A7F6C2" w:rsidR="004D0F2F" w:rsidRDefault="001A2171" w:rsidP="00D836C4">
      <w:pPr>
        <w:pStyle w:val="BodyText"/>
        <w:rPr>
          <w:rStyle w:val="Guidelines"/>
          <w:i w:val="0"/>
        </w:rPr>
      </w:pPr>
      <w:r w:rsidRPr="00D836C4">
        <w:rPr>
          <w:rStyle w:val="Guidelines"/>
          <w:i w:val="0"/>
        </w:rPr>
        <w:t>The matter</w:t>
      </w:r>
      <w:r w:rsidR="004D0F2F">
        <w:rPr>
          <w:rStyle w:val="Guidelines"/>
          <w:i w:val="0"/>
        </w:rPr>
        <w:t>s</w:t>
      </w:r>
      <w:r w:rsidRPr="00D836C4">
        <w:rPr>
          <w:rStyle w:val="Guidelines"/>
          <w:i w:val="0"/>
        </w:rPr>
        <w:t xml:space="preserve"> for </w:t>
      </w:r>
      <w:r w:rsidR="004D0F2F">
        <w:rPr>
          <w:rStyle w:val="Guidelines"/>
          <w:i w:val="0"/>
        </w:rPr>
        <w:t xml:space="preserve">this </w:t>
      </w:r>
      <w:r w:rsidRPr="00D836C4">
        <w:rPr>
          <w:rStyle w:val="Guidelines"/>
          <w:i w:val="0"/>
        </w:rPr>
        <w:t xml:space="preserve">consultation </w:t>
      </w:r>
      <w:r w:rsidR="004D0F2F">
        <w:rPr>
          <w:rStyle w:val="Guidelines"/>
          <w:i w:val="0"/>
        </w:rPr>
        <w:t>are:</w:t>
      </w:r>
    </w:p>
    <w:p w14:paraId="28EFF624" w14:textId="5EDDF98E" w:rsidR="004D0F2F" w:rsidRDefault="004D0F2F" w:rsidP="004D0F2F">
      <w:pPr>
        <w:pStyle w:val="ListBullet"/>
        <w:rPr>
          <w:rStyle w:val="Guidelines"/>
          <w:i w:val="0"/>
        </w:rPr>
      </w:pPr>
      <w:r>
        <w:rPr>
          <w:rStyle w:val="Guidelines"/>
          <w:i w:val="0"/>
        </w:rPr>
        <w:t>The market parameters to be reviewed without modelling</w:t>
      </w:r>
      <w:r w:rsidR="002615AD">
        <w:rPr>
          <w:rStyle w:val="Guidelines"/>
          <w:i w:val="0"/>
        </w:rPr>
        <w:t>; and</w:t>
      </w:r>
    </w:p>
    <w:p w14:paraId="05689036" w14:textId="42B9881F" w:rsidR="004D0F2F" w:rsidRDefault="004D0F2F" w:rsidP="004D0F2F">
      <w:pPr>
        <w:pStyle w:val="ListBullet"/>
      </w:pPr>
      <w:r>
        <w:t>T</w:t>
      </w:r>
      <w:r w:rsidR="00983AE4" w:rsidRPr="00D836C4">
        <w:t>he initial analysis and proposed methodology for the</w:t>
      </w:r>
      <w:r>
        <w:t xml:space="preserve"> market parameters to be modelled</w:t>
      </w:r>
      <w:r w:rsidR="00983AE4" w:rsidRPr="00D836C4">
        <w:t xml:space="preserve">  </w:t>
      </w:r>
    </w:p>
    <w:p w14:paraId="5D91454C" w14:textId="17711327" w:rsidR="00BA34BD" w:rsidRPr="00D836C4" w:rsidRDefault="00F377DD" w:rsidP="004D0F2F">
      <w:pPr>
        <w:pStyle w:val="BodyText"/>
        <w:rPr>
          <w:rStyle w:val="Guidelines"/>
          <w:i w:val="0"/>
        </w:rPr>
      </w:pPr>
      <w:r w:rsidRPr="00D836C4">
        <w:rPr>
          <w:rStyle w:val="Guidelines"/>
          <w:i w:val="0"/>
        </w:rPr>
        <w:t xml:space="preserve">Further details are provided </w:t>
      </w:r>
      <w:r w:rsidR="00CB295C" w:rsidRPr="00D836C4">
        <w:rPr>
          <w:rStyle w:val="Guidelines"/>
          <w:i w:val="0"/>
        </w:rPr>
        <w:t xml:space="preserve">in the </w:t>
      </w:r>
      <w:r w:rsidR="00983AE4" w:rsidRPr="00D836C4">
        <w:rPr>
          <w:rStyle w:val="Guidelines"/>
          <w:i w:val="0"/>
        </w:rPr>
        <w:t>Consultation paper</w:t>
      </w:r>
      <w:r w:rsidR="00745A44" w:rsidRPr="00D836C4">
        <w:rPr>
          <w:rStyle w:val="Guidelines"/>
          <w:i w:val="0"/>
        </w:rPr>
        <w:t>s</w:t>
      </w:r>
      <w:r w:rsidR="00983AE4" w:rsidRPr="00D836C4">
        <w:rPr>
          <w:rStyle w:val="Guidelines"/>
          <w:i w:val="0"/>
        </w:rPr>
        <w:t xml:space="preserve"> </w:t>
      </w:r>
      <w:r w:rsidR="001A2171" w:rsidRPr="00D836C4">
        <w:rPr>
          <w:rStyle w:val="Guidelines"/>
          <w:i w:val="0"/>
        </w:rPr>
        <w:t xml:space="preserve">published with </w:t>
      </w:r>
      <w:r w:rsidR="00734844" w:rsidRPr="00D836C4">
        <w:rPr>
          <w:rStyle w:val="Guidelines"/>
          <w:i w:val="0"/>
        </w:rPr>
        <w:t>the</w:t>
      </w:r>
      <w:r w:rsidR="001A2171" w:rsidRPr="00D836C4">
        <w:rPr>
          <w:rStyle w:val="Guidelines"/>
          <w:i w:val="0"/>
        </w:rPr>
        <w:t xml:space="preserve"> notice</w:t>
      </w:r>
      <w:r w:rsidR="00734844" w:rsidRPr="00D836C4">
        <w:rPr>
          <w:rStyle w:val="Guidelines"/>
          <w:i w:val="0"/>
        </w:rPr>
        <w:t xml:space="preserve"> of consultation</w:t>
      </w:r>
      <w:r w:rsidR="00983AE4" w:rsidRPr="00D836C4">
        <w:rPr>
          <w:rStyle w:val="Guidelines"/>
          <w:i w:val="0"/>
        </w:rPr>
        <w:t>.</w:t>
      </w:r>
      <w:r w:rsidR="001A2171" w:rsidRPr="00D836C4">
        <w:rPr>
          <w:rStyle w:val="Guidelines"/>
          <w:i w:val="0"/>
        </w:rPr>
        <w:t xml:space="preserve"> </w:t>
      </w:r>
    </w:p>
    <w:p w14:paraId="133360C1" w14:textId="77777777" w:rsidR="00F410CF" w:rsidRPr="00491E51" w:rsidRDefault="00F410CF" w:rsidP="00A408AE">
      <w:pPr>
        <w:keepNext/>
        <w:spacing w:before="240" w:line="240" w:lineRule="auto"/>
        <w:rPr>
          <w:b/>
          <w:color w:val="244061"/>
        </w:rPr>
      </w:pPr>
      <w:r w:rsidRPr="00491E51">
        <w:rPr>
          <w:b/>
          <w:color w:val="244061"/>
        </w:rPr>
        <w:t xml:space="preserve">Closing </w:t>
      </w:r>
      <w:r w:rsidR="00491E51" w:rsidRPr="00491E51">
        <w:rPr>
          <w:b/>
          <w:color w:val="244061"/>
        </w:rPr>
        <w:t xml:space="preserve">Date </w:t>
      </w:r>
      <w:r w:rsidR="00345C90">
        <w:rPr>
          <w:b/>
          <w:color w:val="244061"/>
        </w:rPr>
        <w:t>and Time</w:t>
      </w:r>
    </w:p>
    <w:p w14:paraId="35139698" w14:textId="41AACDC8" w:rsidR="00F410CF" w:rsidRDefault="00F410CF" w:rsidP="00D836C4">
      <w:pPr>
        <w:pStyle w:val="BodyText"/>
        <w:rPr>
          <w:rStyle w:val="Guidelines"/>
          <w:i w:val="0"/>
          <w:color w:val="244061"/>
        </w:rPr>
      </w:pPr>
      <w:r w:rsidRPr="00491E51">
        <w:t xml:space="preserve">Submissions in response to this Notice of Consultation </w:t>
      </w:r>
      <w:r w:rsidR="003B336A">
        <w:t xml:space="preserve">should </w:t>
      </w:r>
      <w:r w:rsidR="001C7E4F">
        <w:t>be sent by email to</w:t>
      </w:r>
      <w:r w:rsidR="00745A44">
        <w:t xml:space="preserve"> </w:t>
      </w:r>
      <w:hyperlink r:id="rId13" w:history="1">
        <w:r w:rsidR="00745A44" w:rsidRPr="0067621C">
          <w:rPr>
            <w:rStyle w:val="Hyperlink"/>
          </w:rPr>
          <w:t>gwcf_correspondence@aemo.com.au</w:t>
        </w:r>
      </w:hyperlink>
      <w:r w:rsidR="001C7E4F">
        <w:t xml:space="preserve">, to </w:t>
      </w:r>
      <w:r w:rsidRPr="00491E51">
        <w:t xml:space="preserve">reach </w:t>
      </w:r>
      <w:r w:rsidR="00DF691A" w:rsidRPr="00491E51">
        <w:t>AEMO</w:t>
      </w:r>
      <w:r w:rsidRPr="00491E51">
        <w:t xml:space="preserve"> by 5</w:t>
      </w:r>
      <w:r w:rsidR="00560900">
        <w:t>.</w:t>
      </w:r>
      <w:r w:rsidRPr="00491E51">
        <w:t xml:space="preserve">00pm </w:t>
      </w:r>
      <w:r w:rsidR="00596D40">
        <w:t>(Melbourne time)</w:t>
      </w:r>
      <w:r w:rsidR="00491E51">
        <w:t xml:space="preserve"> </w:t>
      </w:r>
      <w:r w:rsidRPr="00491E51">
        <w:t>on</w:t>
      </w:r>
      <w:r w:rsidR="00745A44">
        <w:t xml:space="preserve"> 24 January 2018</w:t>
      </w:r>
      <w:r w:rsidR="00EE5DC9">
        <w:rPr>
          <w:rStyle w:val="Guidelines"/>
          <w:i w:val="0"/>
          <w:color w:val="244061"/>
        </w:rPr>
        <w:t>.</w:t>
      </w:r>
    </w:p>
    <w:tbl>
      <w:tblPr>
        <w:tblStyle w:val="TableGrid"/>
        <w:tblW w:w="0" w:type="auto"/>
        <w:tblLook w:val="04A0" w:firstRow="1" w:lastRow="0" w:firstColumn="1" w:lastColumn="0" w:noHBand="0" w:noVBand="1"/>
      </w:tblPr>
      <w:tblGrid>
        <w:gridCol w:w="5444"/>
        <w:gridCol w:w="8221"/>
      </w:tblGrid>
      <w:tr w:rsidR="006D3268" w14:paraId="2211FD06" w14:textId="77777777" w:rsidTr="006D3268">
        <w:trPr>
          <w:cnfStyle w:val="100000000000" w:firstRow="1" w:lastRow="0" w:firstColumn="0" w:lastColumn="0" w:oddVBand="0" w:evenVBand="0" w:oddHBand="0" w:evenHBand="0" w:firstRowFirstColumn="0" w:firstRowLastColumn="0" w:lastRowFirstColumn="0" w:lastRowLastColumn="0"/>
          <w:cantSplit/>
        </w:trPr>
        <w:tc>
          <w:tcPr>
            <w:tcW w:w="5444" w:type="dxa"/>
          </w:tcPr>
          <w:p w14:paraId="191ECF12" w14:textId="48F156E0" w:rsidR="006D3268" w:rsidRDefault="006D3268" w:rsidP="00D93578">
            <w:pPr>
              <w:pStyle w:val="TableHeaderText"/>
            </w:pPr>
          </w:p>
        </w:tc>
        <w:tc>
          <w:tcPr>
            <w:tcW w:w="8221" w:type="dxa"/>
          </w:tcPr>
          <w:p w14:paraId="4DFA9AD0" w14:textId="614AE95E" w:rsidR="006D3268" w:rsidRDefault="006D3268" w:rsidP="00D93578">
            <w:pPr>
              <w:pStyle w:val="TableHeaderText"/>
            </w:pPr>
            <w:r>
              <w:t>Details</w:t>
            </w:r>
          </w:p>
        </w:tc>
      </w:tr>
      <w:tr w:rsidR="006D3268" w:rsidRPr="00D836C4" w14:paraId="3F1007D2" w14:textId="77777777" w:rsidTr="006D3268">
        <w:trPr>
          <w:cnfStyle w:val="000000100000" w:firstRow="0" w:lastRow="0" w:firstColumn="0" w:lastColumn="0" w:oddVBand="0" w:evenVBand="0" w:oddHBand="1" w:evenHBand="0" w:firstRowFirstColumn="0" w:firstRowLastColumn="0" w:lastRowFirstColumn="0" w:lastRowLastColumn="0"/>
          <w:cantSplit/>
        </w:trPr>
        <w:tc>
          <w:tcPr>
            <w:tcW w:w="5444" w:type="dxa"/>
          </w:tcPr>
          <w:p w14:paraId="27249264" w14:textId="3E143310" w:rsidR="006D3268" w:rsidRPr="00D836C4" w:rsidRDefault="004D0F2F" w:rsidP="00D93578">
            <w:pPr>
              <w:pStyle w:val="TableText"/>
              <w:keepNext/>
              <w:rPr>
                <w:b/>
              </w:rPr>
            </w:pPr>
            <w:r>
              <w:rPr>
                <w:b/>
              </w:rPr>
              <w:t>Submission</w:t>
            </w:r>
            <w:r w:rsidR="006D3268">
              <w:rPr>
                <w:b/>
              </w:rPr>
              <w:t xml:space="preserve"> by consulted party</w:t>
            </w:r>
          </w:p>
        </w:tc>
        <w:tc>
          <w:tcPr>
            <w:tcW w:w="8221" w:type="dxa"/>
          </w:tcPr>
          <w:p w14:paraId="4110DD8B" w14:textId="5737AF24" w:rsidR="006D3268" w:rsidRPr="00D836C4" w:rsidRDefault="006D3268" w:rsidP="00D93578">
            <w:pPr>
              <w:pStyle w:val="TableText"/>
              <w:rPr>
                <w:b/>
              </w:rPr>
            </w:pPr>
            <w:r>
              <w:rPr>
                <w:b/>
              </w:rPr>
              <w:t>&lt;insert name of consulted party&gt;</w:t>
            </w:r>
          </w:p>
        </w:tc>
      </w:tr>
      <w:tr w:rsidR="006D3268" w:rsidRPr="00D836C4" w14:paraId="229E43FA" w14:textId="77777777" w:rsidTr="001F58A7">
        <w:trPr>
          <w:cnfStyle w:val="000000010000" w:firstRow="0" w:lastRow="0" w:firstColumn="0" w:lastColumn="0" w:oddVBand="0" w:evenVBand="0" w:oddHBand="0" w:evenHBand="1" w:firstRowFirstColumn="0" w:firstRowLastColumn="0" w:lastRowFirstColumn="0" w:lastRowLastColumn="0"/>
          <w:cantSplit/>
        </w:trPr>
        <w:tc>
          <w:tcPr>
            <w:tcW w:w="5444" w:type="dxa"/>
          </w:tcPr>
          <w:p w14:paraId="0FC7237C" w14:textId="77777777" w:rsidR="006D3268" w:rsidRDefault="006D3268" w:rsidP="001F58A7">
            <w:pPr>
              <w:pStyle w:val="TableText"/>
              <w:keepNext/>
              <w:rPr>
                <w:b/>
              </w:rPr>
            </w:pPr>
            <w:r>
              <w:rPr>
                <w:b/>
              </w:rPr>
              <w:t>Meeting requested?</w:t>
            </w:r>
          </w:p>
        </w:tc>
        <w:tc>
          <w:tcPr>
            <w:tcW w:w="8221" w:type="dxa"/>
          </w:tcPr>
          <w:p w14:paraId="65A9152D" w14:textId="77777777" w:rsidR="006D3268" w:rsidRDefault="006D3268" w:rsidP="001F58A7">
            <w:pPr>
              <w:pStyle w:val="TableText"/>
              <w:rPr>
                <w:b/>
              </w:rPr>
            </w:pPr>
            <w:r>
              <w:rPr>
                <w:b/>
              </w:rPr>
              <w:t>&lt;Yes / No&gt;</w:t>
            </w:r>
          </w:p>
        </w:tc>
      </w:tr>
      <w:tr w:rsidR="006D3268" w:rsidRPr="00D836C4" w14:paraId="23F1D39B" w14:textId="77777777" w:rsidTr="006D3268">
        <w:trPr>
          <w:cnfStyle w:val="000000100000" w:firstRow="0" w:lastRow="0" w:firstColumn="0" w:lastColumn="0" w:oddVBand="0" w:evenVBand="0" w:oddHBand="1" w:evenHBand="0" w:firstRowFirstColumn="0" w:firstRowLastColumn="0" w:lastRowFirstColumn="0" w:lastRowLastColumn="0"/>
          <w:cantSplit/>
        </w:trPr>
        <w:tc>
          <w:tcPr>
            <w:tcW w:w="5444" w:type="dxa"/>
          </w:tcPr>
          <w:p w14:paraId="24FAE7D1" w14:textId="361DFD4B" w:rsidR="006D3268" w:rsidRDefault="006D3268" w:rsidP="00D93578">
            <w:pPr>
              <w:pStyle w:val="TableText"/>
              <w:keepNext/>
              <w:rPr>
                <w:b/>
              </w:rPr>
            </w:pPr>
            <w:r>
              <w:rPr>
                <w:b/>
              </w:rPr>
              <w:t>Contact person – not for publication</w:t>
            </w:r>
          </w:p>
        </w:tc>
        <w:tc>
          <w:tcPr>
            <w:tcW w:w="8221" w:type="dxa"/>
          </w:tcPr>
          <w:p w14:paraId="489C017C" w14:textId="225ABF1B" w:rsidR="006D3268" w:rsidRDefault="006D3268" w:rsidP="00D93578">
            <w:pPr>
              <w:pStyle w:val="TableText"/>
              <w:rPr>
                <w:b/>
              </w:rPr>
            </w:pPr>
            <w:r>
              <w:rPr>
                <w:b/>
              </w:rPr>
              <w:t>&lt;insert name of contact person&gt;</w:t>
            </w:r>
          </w:p>
        </w:tc>
      </w:tr>
      <w:tr w:rsidR="006D3268" w:rsidRPr="00D836C4" w14:paraId="40B509C2" w14:textId="77777777" w:rsidTr="006D3268">
        <w:trPr>
          <w:cnfStyle w:val="000000010000" w:firstRow="0" w:lastRow="0" w:firstColumn="0" w:lastColumn="0" w:oddVBand="0" w:evenVBand="0" w:oddHBand="0" w:evenHBand="1" w:firstRowFirstColumn="0" w:firstRowLastColumn="0" w:lastRowFirstColumn="0" w:lastRowLastColumn="0"/>
          <w:cantSplit/>
        </w:trPr>
        <w:tc>
          <w:tcPr>
            <w:tcW w:w="5444" w:type="dxa"/>
          </w:tcPr>
          <w:p w14:paraId="5C124133" w14:textId="31C9AC54" w:rsidR="006D3268" w:rsidRDefault="006D3268" w:rsidP="00D93578">
            <w:pPr>
              <w:pStyle w:val="TableText"/>
              <w:keepNext/>
              <w:rPr>
                <w:b/>
              </w:rPr>
            </w:pPr>
            <w:r>
              <w:rPr>
                <w:b/>
              </w:rPr>
              <w:t xml:space="preserve">Contact details – not for </w:t>
            </w:r>
            <w:r w:rsidR="004D0F2F">
              <w:rPr>
                <w:b/>
              </w:rPr>
              <w:t>publication</w:t>
            </w:r>
          </w:p>
        </w:tc>
        <w:tc>
          <w:tcPr>
            <w:tcW w:w="8221" w:type="dxa"/>
          </w:tcPr>
          <w:p w14:paraId="435C22EF" w14:textId="318BAB0F" w:rsidR="006D3268" w:rsidRDefault="006D3268" w:rsidP="00D93578">
            <w:pPr>
              <w:pStyle w:val="TableText"/>
              <w:rPr>
                <w:b/>
              </w:rPr>
            </w:pPr>
            <w:r>
              <w:rPr>
                <w:b/>
              </w:rPr>
              <w:t>&lt;insert preferred contact details&gt;</w:t>
            </w:r>
          </w:p>
        </w:tc>
      </w:tr>
    </w:tbl>
    <w:p w14:paraId="0D147B83" w14:textId="77777777" w:rsidR="006D3268" w:rsidRDefault="006D3268" w:rsidP="00D836C4">
      <w:pPr>
        <w:pStyle w:val="BodyText"/>
      </w:pPr>
    </w:p>
    <w:p w14:paraId="6A869AE6" w14:textId="77777777" w:rsidR="006D3268" w:rsidRDefault="006D3268">
      <w:pPr>
        <w:tabs>
          <w:tab w:val="clear" w:pos="397"/>
          <w:tab w:val="clear" w:pos="794"/>
          <w:tab w:val="clear" w:pos="1191"/>
        </w:tabs>
        <w:spacing w:after="0" w:line="240" w:lineRule="auto"/>
        <w:rPr>
          <w:rFonts w:eastAsia="Calibri"/>
          <w:lang w:eastAsia="en-US"/>
        </w:rPr>
      </w:pPr>
      <w:r>
        <w:br w:type="page"/>
      </w:r>
    </w:p>
    <w:p w14:paraId="0CF16118" w14:textId="65D2FED2" w:rsidR="006D3268" w:rsidRPr="00EE5DC9" w:rsidRDefault="006D3268" w:rsidP="00D836C4">
      <w:pPr>
        <w:pStyle w:val="BodyText"/>
      </w:pPr>
    </w:p>
    <w:tbl>
      <w:tblPr>
        <w:tblStyle w:val="TableGrid"/>
        <w:tblW w:w="0" w:type="auto"/>
        <w:tblLook w:val="04A0" w:firstRow="1" w:lastRow="0" w:firstColumn="1" w:lastColumn="0" w:noHBand="0" w:noVBand="1"/>
      </w:tblPr>
      <w:tblGrid>
        <w:gridCol w:w="6536"/>
        <w:gridCol w:w="7129"/>
      </w:tblGrid>
      <w:tr w:rsidR="00D836C4" w14:paraId="64676188" w14:textId="77777777" w:rsidTr="00AE5A23">
        <w:trPr>
          <w:cnfStyle w:val="100000000000" w:firstRow="1" w:lastRow="0" w:firstColumn="0" w:lastColumn="0" w:oddVBand="0" w:evenVBand="0" w:oddHBand="0" w:evenHBand="0" w:firstRowFirstColumn="0" w:firstRowLastColumn="0" w:lastRowFirstColumn="0" w:lastRowLastColumn="0"/>
          <w:cantSplit/>
          <w:tblHeader/>
        </w:trPr>
        <w:tc>
          <w:tcPr>
            <w:tcW w:w="6536" w:type="dxa"/>
          </w:tcPr>
          <w:p w14:paraId="5BC72152" w14:textId="0355F280" w:rsidR="00D836C4" w:rsidRDefault="00D836C4" w:rsidP="00D836C4">
            <w:pPr>
              <w:pStyle w:val="TableHeaderText"/>
            </w:pPr>
            <w:r>
              <w:t>Question</w:t>
            </w:r>
          </w:p>
        </w:tc>
        <w:tc>
          <w:tcPr>
            <w:tcW w:w="7129" w:type="dxa"/>
          </w:tcPr>
          <w:p w14:paraId="7E709A11" w14:textId="77777777" w:rsidR="004D0F2F" w:rsidRDefault="00D836C4" w:rsidP="00D836C4">
            <w:pPr>
              <w:pStyle w:val="TableHeaderText"/>
            </w:pPr>
            <w:r>
              <w:t>Response</w:t>
            </w:r>
          </w:p>
          <w:p w14:paraId="01563CCE" w14:textId="40D36C78" w:rsidR="00D836C4" w:rsidRPr="004D0F2F" w:rsidRDefault="004D0F2F" w:rsidP="00D836C4">
            <w:pPr>
              <w:pStyle w:val="TableHeaderText"/>
              <w:rPr>
                <w:i/>
              </w:rPr>
            </w:pPr>
            <w:r w:rsidRPr="004D0F2F">
              <w:rPr>
                <w:i/>
              </w:rPr>
              <w:t>(Indicate if your response is confidential)</w:t>
            </w:r>
          </w:p>
        </w:tc>
      </w:tr>
      <w:tr w:rsidR="00D836C4" w:rsidRPr="00D836C4" w14:paraId="187689E2" w14:textId="510D1173" w:rsidTr="00D836C4">
        <w:trPr>
          <w:cnfStyle w:val="000000100000" w:firstRow="0" w:lastRow="0" w:firstColumn="0" w:lastColumn="0" w:oddVBand="0" w:evenVBand="0" w:oddHBand="1" w:evenHBand="0" w:firstRowFirstColumn="0" w:firstRowLastColumn="0" w:lastRowFirstColumn="0" w:lastRowLastColumn="0"/>
          <w:cantSplit/>
        </w:trPr>
        <w:tc>
          <w:tcPr>
            <w:tcW w:w="6536" w:type="dxa"/>
          </w:tcPr>
          <w:p w14:paraId="77A53887" w14:textId="1D3936E2" w:rsidR="00D836C4" w:rsidRPr="00D836C4" w:rsidRDefault="00D836C4" w:rsidP="00D836C4">
            <w:pPr>
              <w:pStyle w:val="TableText"/>
              <w:keepNext/>
              <w:rPr>
                <w:b/>
              </w:rPr>
            </w:pPr>
            <w:r w:rsidRPr="00D836C4">
              <w:rPr>
                <w:b/>
              </w:rPr>
              <w:t>Modelling Approach and Scenarios</w:t>
            </w:r>
          </w:p>
        </w:tc>
        <w:tc>
          <w:tcPr>
            <w:tcW w:w="7129" w:type="dxa"/>
          </w:tcPr>
          <w:p w14:paraId="7D6359B1" w14:textId="77777777" w:rsidR="00D836C4" w:rsidRPr="00D836C4" w:rsidRDefault="00D836C4" w:rsidP="00D836C4">
            <w:pPr>
              <w:pStyle w:val="TableText"/>
              <w:rPr>
                <w:b/>
              </w:rPr>
            </w:pPr>
          </w:p>
        </w:tc>
      </w:tr>
      <w:tr w:rsidR="00D836C4" w14:paraId="1959D82C" w14:textId="77777777" w:rsidTr="00D836C4">
        <w:trPr>
          <w:cnfStyle w:val="000000010000" w:firstRow="0" w:lastRow="0" w:firstColumn="0" w:lastColumn="0" w:oddVBand="0" w:evenVBand="0" w:oddHBand="0" w:evenHBand="1" w:firstRowFirstColumn="0" w:firstRowLastColumn="0" w:lastRowFirstColumn="0" w:lastRowLastColumn="0"/>
          <w:cantSplit/>
        </w:trPr>
        <w:tc>
          <w:tcPr>
            <w:tcW w:w="6536" w:type="dxa"/>
          </w:tcPr>
          <w:p w14:paraId="6D158F2C" w14:textId="1ED0FE29" w:rsidR="00D836C4" w:rsidRDefault="00CD2786" w:rsidP="00D836C4">
            <w:pPr>
              <w:pStyle w:val="TableText"/>
            </w:pPr>
            <w:r w:rsidRPr="00CD2786">
              <w:t>AEMO is seeking submissions from interested parties as to the suitability of the proposed approach, with details of any areas of potential improvements.</w:t>
            </w:r>
          </w:p>
        </w:tc>
        <w:tc>
          <w:tcPr>
            <w:tcW w:w="7129" w:type="dxa"/>
          </w:tcPr>
          <w:p w14:paraId="6F227E72" w14:textId="4C32E6FF" w:rsidR="00D836C4" w:rsidRDefault="00D836C4" w:rsidP="00AE5A23">
            <w:pPr>
              <w:pStyle w:val="TableText"/>
            </w:pPr>
          </w:p>
        </w:tc>
      </w:tr>
      <w:tr w:rsidR="00CD2786" w14:paraId="254658B3"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6B821FA4" w14:textId="77777777" w:rsidR="00CD2786" w:rsidRDefault="00CD2786" w:rsidP="00B2740F">
            <w:pPr>
              <w:pStyle w:val="TableText"/>
            </w:pPr>
            <w:r w:rsidRPr="004B3BC9">
              <w:rPr>
                <w:b/>
              </w:rPr>
              <w:t>Gas Market Parameter Review 2018 – Consultation Report - Market Reform Pty Ltd</w:t>
            </w:r>
            <w:r>
              <w:t>.</w:t>
            </w:r>
          </w:p>
        </w:tc>
        <w:tc>
          <w:tcPr>
            <w:tcW w:w="7129" w:type="dxa"/>
          </w:tcPr>
          <w:p w14:paraId="7A04CD56" w14:textId="77777777" w:rsidR="00CD2786" w:rsidRDefault="00CD2786" w:rsidP="00B2740F">
            <w:pPr>
              <w:pStyle w:val="TableText"/>
            </w:pPr>
          </w:p>
        </w:tc>
      </w:tr>
      <w:tr w:rsidR="00CD2786" w14:paraId="5C1AD994"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16C599A1" w14:textId="77777777" w:rsidR="00CD2786" w:rsidRPr="004B3BC9" w:rsidRDefault="00CD2786" w:rsidP="00B2740F">
            <w:pPr>
              <w:pStyle w:val="TableText"/>
            </w:pPr>
            <w:r w:rsidRPr="004B3BC9">
              <w:t>AEMO is seeking submissions from interested parties in response to the specific questions posed in Attachment</w:t>
            </w:r>
            <w:r>
              <w:t xml:space="preserve"> 1.</w:t>
            </w:r>
          </w:p>
        </w:tc>
        <w:tc>
          <w:tcPr>
            <w:tcW w:w="7129" w:type="dxa"/>
          </w:tcPr>
          <w:p w14:paraId="35A37DB8" w14:textId="77777777" w:rsidR="00CD2786" w:rsidRDefault="00CD2786" w:rsidP="00B2740F">
            <w:pPr>
              <w:pStyle w:val="TableText"/>
            </w:pPr>
          </w:p>
        </w:tc>
      </w:tr>
      <w:tr w:rsidR="00CD2786" w14:paraId="18616A91"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0D19E586" w14:textId="77777777" w:rsidR="00CD2786" w:rsidRDefault="00CD2786" w:rsidP="00B2740F">
            <w:pPr>
              <w:pStyle w:val="TableText"/>
            </w:pPr>
            <w:r w:rsidRPr="000727B3">
              <w:rPr>
                <w:b/>
              </w:rPr>
              <w:t>Question1</w:t>
            </w:r>
            <w:r>
              <w:t xml:space="preserve"> (p23)</w:t>
            </w:r>
            <w:r w:rsidRPr="000727B3">
              <w:t>:  Do you have any comments on the appropriateness of the calculation of acceptable risk?</w:t>
            </w:r>
          </w:p>
        </w:tc>
        <w:tc>
          <w:tcPr>
            <w:tcW w:w="7129" w:type="dxa"/>
          </w:tcPr>
          <w:p w14:paraId="35870897" w14:textId="77777777" w:rsidR="00CD2786" w:rsidRDefault="00CD2786" w:rsidP="00B2740F">
            <w:pPr>
              <w:pStyle w:val="TableText"/>
            </w:pPr>
          </w:p>
        </w:tc>
      </w:tr>
      <w:tr w:rsidR="00CD2786" w14:paraId="70321E84"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6C41EAC1" w14:textId="77777777" w:rsidR="00CD2786" w:rsidRPr="00D836C4" w:rsidRDefault="00CD2786" w:rsidP="00B2740F">
            <w:pPr>
              <w:pStyle w:val="TableText"/>
            </w:pPr>
            <w:r w:rsidRPr="000727B3">
              <w:rPr>
                <w:b/>
              </w:rPr>
              <w:t>Question 2</w:t>
            </w:r>
            <w:r>
              <w:t xml:space="preserve"> (p27)</w:t>
            </w:r>
            <w:r w:rsidRPr="000727B3">
              <w:t>: A range of scenarios to be studied are listed in Appendix B.  Do you think any major scenarios are missing, or that any scenarios proposed are not relevant?</w:t>
            </w:r>
          </w:p>
        </w:tc>
        <w:tc>
          <w:tcPr>
            <w:tcW w:w="7129" w:type="dxa"/>
          </w:tcPr>
          <w:p w14:paraId="37D7E327" w14:textId="77777777" w:rsidR="00CD2786" w:rsidRDefault="00CD2786" w:rsidP="00B2740F">
            <w:pPr>
              <w:pStyle w:val="TableText"/>
            </w:pPr>
          </w:p>
        </w:tc>
      </w:tr>
      <w:tr w:rsidR="00CD2786" w14:paraId="4E217BFE"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4DC99581" w14:textId="77777777" w:rsidR="00CD2786" w:rsidRPr="000727B3" w:rsidRDefault="00CD2786" w:rsidP="00B2740F">
            <w:pPr>
              <w:pStyle w:val="TableText"/>
            </w:pPr>
            <w:r w:rsidRPr="000727B3">
              <w:rPr>
                <w:b/>
              </w:rPr>
              <w:t>Question 3</w:t>
            </w:r>
            <w:r>
              <w:t xml:space="preserve"> (p32)</w:t>
            </w:r>
            <w:r w:rsidRPr="000727B3">
              <w:t>: Are there any artefacts of the modelling approach that need to be further considered or are causing concern?</w:t>
            </w:r>
          </w:p>
        </w:tc>
        <w:tc>
          <w:tcPr>
            <w:tcW w:w="7129" w:type="dxa"/>
          </w:tcPr>
          <w:p w14:paraId="497950E7" w14:textId="77777777" w:rsidR="00CD2786" w:rsidRDefault="00CD2786" w:rsidP="00B2740F">
            <w:pPr>
              <w:pStyle w:val="TableText"/>
            </w:pPr>
          </w:p>
        </w:tc>
      </w:tr>
      <w:tr w:rsidR="00CD2786" w14:paraId="05FD428F"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759EA373" w14:textId="77777777" w:rsidR="00CD2786" w:rsidRDefault="00CD2786" w:rsidP="00B2740F">
            <w:pPr>
              <w:pStyle w:val="TableText"/>
            </w:pPr>
            <w:r w:rsidRPr="000727B3">
              <w:rPr>
                <w:b/>
              </w:rPr>
              <w:t>Question 4</w:t>
            </w:r>
            <w:r>
              <w:t xml:space="preserve"> (p34)</w:t>
            </w:r>
            <w:r w:rsidRPr="000727B3">
              <w:t>: A new feature of the Market Reform approach is a focus on simulating the drivers of high price rather than assuming a high price occurs.  Do you see any limitations of this approach relative to prior methods?</w:t>
            </w:r>
          </w:p>
        </w:tc>
        <w:tc>
          <w:tcPr>
            <w:tcW w:w="7129" w:type="dxa"/>
          </w:tcPr>
          <w:p w14:paraId="61F16D5C" w14:textId="77777777" w:rsidR="00CD2786" w:rsidRDefault="00CD2786" w:rsidP="00B2740F">
            <w:pPr>
              <w:pStyle w:val="TableText"/>
            </w:pPr>
          </w:p>
        </w:tc>
      </w:tr>
      <w:tr w:rsidR="00CD2786" w14:paraId="2F7711F1"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5FEF1D26" w14:textId="77777777" w:rsidR="00CD2786" w:rsidRDefault="00CD2786" w:rsidP="00B2740F">
            <w:pPr>
              <w:pStyle w:val="TableText"/>
            </w:pPr>
            <w:r w:rsidRPr="000727B3">
              <w:rPr>
                <w:b/>
              </w:rPr>
              <w:t>Question 5</w:t>
            </w:r>
            <w:r>
              <w:t xml:space="preserve"> (p36)</w:t>
            </w:r>
            <w:r w:rsidRPr="000727B3">
              <w:t>: Earlier, in section 5.6, a set of representative Market Participants was described.  New types of participants have been introduced relative to prior reviews requiring variation in the methodology for calculating average daily profit relative to prior reviews.  Do you have any comments on the appropriateness of using ABS data estimating loss of profits?</w:t>
            </w:r>
          </w:p>
        </w:tc>
        <w:tc>
          <w:tcPr>
            <w:tcW w:w="7129" w:type="dxa"/>
          </w:tcPr>
          <w:p w14:paraId="733E134B" w14:textId="77777777" w:rsidR="00CD2786" w:rsidRDefault="00CD2786" w:rsidP="00B2740F">
            <w:pPr>
              <w:pStyle w:val="TableText"/>
            </w:pPr>
          </w:p>
        </w:tc>
      </w:tr>
      <w:tr w:rsidR="00CD2786" w14:paraId="182267C4"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05F82166" w14:textId="77777777" w:rsidR="00CD2786" w:rsidRPr="000727B3" w:rsidRDefault="00CD2786" w:rsidP="00B2740F">
            <w:pPr>
              <w:pStyle w:val="TableText"/>
            </w:pPr>
            <w:r w:rsidRPr="000727B3">
              <w:rPr>
                <w:b/>
              </w:rPr>
              <w:t>Question 6</w:t>
            </w:r>
            <w:r>
              <w:t xml:space="preserve"> (p36)</w:t>
            </w:r>
            <w:r w:rsidRPr="000727B3">
              <w:t>: Are the investment costs and operating life reasonable estimates with respect to investment in an LNG facility such as that in Dandenong?</w:t>
            </w:r>
          </w:p>
        </w:tc>
        <w:tc>
          <w:tcPr>
            <w:tcW w:w="7129" w:type="dxa"/>
          </w:tcPr>
          <w:p w14:paraId="1B25E72D" w14:textId="77777777" w:rsidR="00CD2786" w:rsidRDefault="00CD2786" w:rsidP="00B2740F">
            <w:pPr>
              <w:pStyle w:val="TableText"/>
            </w:pPr>
          </w:p>
        </w:tc>
      </w:tr>
      <w:tr w:rsidR="00CD2786" w14:paraId="6ECCA166"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7AF38970" w14:textId="77777777" w:rsidR="00CD2786" w:rsidRPr="000727B3" w:rsidRDefault="00CD2786" w:rsidP="00B2740F">
            <w:pPr>
              <w:pStyle w:val="TableText"/>
            </w:pPr>
            <w:r w:rsidRPr="000727B3">
              <w:rPr>
                <w:b/>
              </w:rPr>
              <w:t>Question 7</w:t>
            </w:r>
            <w:r>
              <w:t xml:space="preserve"> (p37)</w:t>
            </w:r>
            <w:r w:rsidRPr="000727B3">
              <w:t>: Recognising that that the Investment Cost Data presented above must apply across a range of industries and participant types, and the investment under consideration is antic</w:t>
            </w:r>
            <w:r>
              <w:t>ipated to be used infrequently:</w:t>
            </w:r>
          </w:p>
        </w:tc>
        <w:tc>
          <w:tcPr>
            <w:tcW w:w="7129" w:type="dxa"/>
          </w:tcPr>
          <w:p w14:paraId="6BEC9994" w14:textId="77777777" w:rsidR="00CD2786" w:rsidRDefault="00CD2786" w:rsidP="00B2740F">
            <w:pPr>
              <w:pStyle w:val="TableText"/>
            </w:pPr>
          </w:p>
        </w:tc>
      </w:tr>
      <w:tr w:rsidR="00CD2786" w14:paraId="73A3B95D"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3B58AFC7" w14:textId="77777777" w:rsidR="00CD2786" w:rsidRPr="000727B3" w:rsidRDefault="00CD2786" w:rsidP="00B2740F">
            <w:pPr>
              <w:pStyle w:val="TableText"/>
            </w:pPr>
            <w:r w:rsidRPr="000727B3">
              <w:lastRenderedPageBreak/>
              <w:t>a.</w:t>
            </w:r>
            <w:r w:rsidRPr="000727B3">
              <w:tab/>
              <w:t>Is the equity market risk premium for the sector (7.50%) reasonable?</w:t>
            </w:r>
          </w:p>
        </w:tc>
        <w:tc>
          <w:tcPr>
            <w:tcW w:w="7129" w:type="dxa"/>
          </w:tcPr>
          <w:p w14:paraId="545C4A85" w14:textId="77777777" w:rsidR="00CD2786" w:rsidRDefault="00CD2786" w:rsidP="00B2740F">
            <w:pPr>
              <w:pStyle w:val="TableText"/>
            </w:pPr>
          </w:p>
        </w:tc>
      </w:tr>
      <w:tr w:rsidR="00CD2786" w14:paraId="31CD477D" w14:textId="77777777" w:rsidTr="00B2740F">
        <w:trPr>
          <w:cnfStyle w:val="000000100000" w:firstRow="0" w:lastRow="0" w:firstColumn="0" w:lastColumn="0" w:oddVBand="0" w:evenVBand="0" w:oddHBand="1" w:evenHBand="0" w:firstRowFirstColumn="0" w:firstRowLastColumn="0" w:lastRowFirstColumn="0" w:lastRowLastColumn="0"/>
          <w:cantSplit/>
        </w:trPr>
        <w:tc>
          <w:tcPr>
            <w:tcW w:w="6536" w:type="dxa"/>
          </w:tcPr>
          <w:p w14:paraId="6B0B17F3" w14:textId="77777777" w:rsidR="00CD2786" w:rsidRPr="000727B3" w:rsidRDefault="00CD2786" w:rsidP="00B2740F">
            <w:pPr>
              <w:pStyle w:val="TableText"/>
            </w:pPr>
            <w:r w:rsidRPr="000727B3">
              <w:t>b.</w:t>
            </w:r>
            <w:r w:rsidRPr="000727B3">
              <w:tab/>
              <w:t>Does the combination of the risk-free rate (3.50%) and the debt margin (2%) adequately re</w:t>
            </w:r>
            <w:r>
              <w:t>flect the cost of debt (5.50%)?</w:t>
            </w:r>
          </w:p>
        </w:tc>
        <w:tc>
          <w:tcPr>
            <w:tcW w:w="7129" w:type="dxa"/>
          </w:tcPr>
          <w:p w14:paraId="23A2A629" w14:textId="77777777" w:rsidR="00CD2786" w:rsidRDefault="00CD2786" w:rsidP="00B2740F">
            <w:pPr>
              <w:pStyle w:val="TableText"/>
            </w:pPr>
          </w:p>
        </w:tc>
      </w:tr>
      <w:tr w:rsidR="00CD2786" w14:paraId="5B38AD14" w14:textId="77777777" w:rsidTr="00B2740F">
        <w:trPr>
          <w:cnfStyle w:val="000000010000" w:firstRow="0" w:lastRow="0" w:firstColumn="0" w:lastColumn="0" w:oddVBand="0" w:evenVBand="0" w:oddHBand="0" w:evenHBand="1" w:firstRowFirstColumn="0" w:firstRowLastColumn="0" w:lastRowFirstColumn="0" w:lastRowLastColumn="0"/>
          <w:cantSplit/>
        </w:trPr>
        <w:tc>
          <w:tcPr>
            <w:tcW w:w="6536" w:type="dxa"/>
          </w:tcPr>
          <w:p w14:paraId="2B3C6306" w14:textId="77777777" w:rsidR="00CD2786" w:rsidRPr="000727B3" w:rsidRDefault="00CD2786" w:rsidP="00B2740F">
            <w:pPr>
              <w:pStyle w:val="TableText"/>
            </w:pPr>
            <w:r w:rsidRPr="000727B3">
              <w:t>c.</w:t>
            </w:r>
            <w:r w:rsidRPr="000727B3">
              <w:tab/>
              <w:t>Is the overall estimate of post-tax real WACC (6.67%) reasonable bearing in mind it is applicable to a facility anticipated to be used infrequently?</w:t>
            </w:r>
          </w:p>
        </w:tc>
        <w:tc>
          <w:tcPr>
            <w:tcW w:w="7129" w:type="dxa"/>
          </w:tcPr>
          <w:p w14:paraId="46AFA423" w14:textId="77777777" w:rsidR="00CD2786" w:rsidRDefault="00CD2786" w:rsidP="00B2740F">
            <w:pPr>
              <w:pStyle w:val="TableText"/>
            </w:pPr>
          </w:p>
        </w:tc>
      </w:tr>
      <w:tr w:rsidR="00D836C4" w14:paraId="463A51B3" w14:textId="77777777" w:rsidTr="00D836C4">
        <w:trPr>
          <w:cnfStyle w:val="000000100000" w:firstRow="0" w:lastRow="0" w:firstColumn="0" w:lastColumn="0" w:oddVBand="0" w:evenVBand="0" w:oddHBand="1" w:evenHBand="0" w:firstRowFirstColumn="0" w:firstRowLastColumn="0" w:lastRowFirstColumn="0" w:lastRowLastColumn="0"/>
          <w:cantSplit/>
        </w:trPr>
        <w:tc>
          <w:tcPr>
            <w:tcW w:w="6536" w:type="dxa"/>
          </w:tcPr>
          <w:p w14:paraId="17FAC27A" w14:textId="6AD1FCE1" w:rsidR="00D836C4" w:rsidRPr="00D836C4" w:rsidRDefault="00D836C4" w:rsidP="00D836C4">
            <w:pPr>
              <w:pStyle w:val="TableText"/>
              <w:keepNext/>
              <w:rPr>
                <w:b/>
              </w:rPr>
            </w:pPr>
            <w:r w:rsidRPr="00D836C4">
              <w:rPr>
                <w:b/>
              </w:rPr>
              <w:t>Minimum market price</w:t>
            </w:r>
          </w:p>
        </w:tc>
        <w:tc>
          <w:tcPr>
            <w:tcW w:w="7129" w:type="dxa"/>
          </w:tcPr>
          <w:p w14:paraId="0A039365" w14:textId="77777777" w:rsidR="00D836C4" w:rsidRDefault="00D836C4" w:rsidP="00D836C4">
            <w:pPr>
              <w:pStyle w:val="TableText"/>
            </w:pPr>
          </w:p>
        </w:tc>
      </w:tr>
      <w:tr w:rsidR="00D836C4" w14:paraId="788D5BCD" w14:textId="77777777" w:rsidTr="00D836C4">
        <w:trPr>
          <w:cnfStyle w:val="000000010000" w:firstRow="0" w:lastRow="0" w:firstColumn="0" w:lastColumn="0" w:oddVBand="0" w:evenVBand="0" w:oddHBand="0" w:evenHBand="1" w:firstRowFirstColumn="0" w:firstRowLastColumn="0" w:lastRowFirstColumn="0" w:lastRowLastColumn="0"/>
          <w:cantSplit/>
        </w:trPr>
        <w:tc>
          <w:tcPr>
            <w:tcW w:w="6536" w:type="dxa"/>
          </w:tcPr>
          <w:p w14:paraId="3616A1F6" w14:textId="77777777" w:rsidR="00CD2786" w:rsidRDefault="00CD2786" w:rsidP="00CD2786">
            <w:pPr>
              <w:pStyle w:val="TableText"/>
            </w:pPr>
            <w:r>
              <w:t xml:space="preserve">AEMO is seeking submissions from interested parties as to whether the setting for MMP in the DWGM and STTM at $0 per GJ could be more effective in any way?  </w:t>
            </w:r>
          </w:p>
          <w:p w14:paraId="24BA9327" w14:textId="1D5033C2" w:rsidR="00D836C4" w:rsidRDefault="00CD2786" w:rsidP="00CD2786">
            <w:pPr>
              <w:pStyle w:val="TableText"/>
            </w:pPr>
            <w:r>
              <w:t>If so please advise the areas of potential improvements.</w:t>
            </w:r>
          </w:p>
        </w:tc>
        <w:tc>
          <w:tcPr>
            <w:tcW w:w="7129" w:type="dxa"/>
          </w:tcPr>
          <w:p w14:paraId="24AC1423" w14:textId="00CE4ADC" w:rsidR="00D836C4" w:rsidRDefault="00D836C4" w:rsidP="00D836C4">
            <w:pPr>
              <w:pStyle w:val="TableText"/>
            </w:pPr>
          </w:p>
        </w:tc>
      </w:tr>
      <w:tr w:rsidR="00D836C4" w14:paraId="1DF59292" w14:textId="77777777" w:rsidTr="00D836C4">
        <w:trPr>
          <w:cnfStyle w:val="000000100000" w:firstRow="0" w:lastRow="0" w:firstColumn="0" w:lastColumn="0" w:oddVBand="0" w:evenVBand="0" w:oddHBand="1" w:evenHBand="0" w:firstRowFirstColumn="0" w:firstRowLastColumn="0" w:lastRowFirstColumn="0" w:lastRowLastColumn="0"/>
          <w:cantSplit/>
        </w:trPr>
        <w:tc>
          <w:tcPr>
            <w:tcW w:w="6536" w:type="dxa"/>
          </w:tcPr>
          <w:p w14:paraId="48540885" w14:textId="686C90CC" w:rsidR="00D836C4" w:rsidRPr="00D836C4" w:rsidRDefault="00D836C4" w:rsidP="00D836C4">
            <w:pPr>
              <w:pStyle w:val="TableText"/>
              <w:keepNext/>
              <w:rPr>
                <w:b/>
              </w:rPr>
            </w:pPr>
            <w:r w:rsidRPr="00D836C4">
              <w:rPr>
                <w:b/>
              </w:rPr>
              <w:t>CPT horizon / Cumulative price period</w:t>
            </w:r>
          </w:p>
        </w:tc>
        <w:tc>
          <w:tcPr>
            <w:tcW w:w="7129" w:type="dxa"/>
          </w:tcPr>
          <w:p w14:paraId="5AD7A584" w14:textId="77777777" w:rsidR="00D836C4" w:rsidRDefault="00D836C4" w:rsidP="00D836C4">
            <w:pPr>
              <w:pStyle w:val="TableText"/>
            </w:pPr>
          </w:p>
        </w:tc>
      </w:tr>
      <w:tr w:rsidR="00D836C4" w14:paraId="3B700EE6" w14:textId="77777777" w:rsidTr="00D836C4">
        <w:trPr>
          <w:cnfStyle w:val="000000010000" w:firstRow="0" w:lastRow="0" w:firstColumn="0" w:lastColumn="0" w:oddVBand="0" w:evenVBand="0" w:oddHBand="0" w:evenHBand="1" w:firstRowFirstColumn="0" w:firstRowLastColumn="0" w:lastRowFirstColumn="0" w:lastRowLastColumn="0"/>
          <w:cantSplit/>
        </w:trPr>
        <w:tc>
          <w:tcPr>
            <w:tcW w:w="6536" w:type="dxa"/>
          </w:tcPr>
          <w:p w14:paraId="391F7AD2" w14:textId="77777777" w:rsidR="00CD2786" w:rsidRDefault="00CD2786" w:rsidP="00CD2786">
            <w:pPr>
              <w:pStyle w:val="TableText"/>
            </w:pPr>
            <w:r>
              <w:t>AEMO is seeking submissions from interested parties as to whether the setting for CPTH at seven consecutive gas days in the STTM and CPP at 35 consecutive scheduling intervals in the DWGM could be more effective in any way?</w:t>
            </w:r>
          </w:p>
          <w:p w14:paraId="156C191C" w14:textId="07B7A063" w:rsidR="00D836C4" w:rsidRDefault="00CD2786" w:rsidP="00CD2786">
            <w:pPr>
              <w:pStyle w:val="TableText"/>
            </w:pPr>
            <w:r>
              <w:t>If so please advise the areas of potential improvements.</w:t>
            </w:r>
          </w:p>
        </w:tc>
        <w:tc>
          <w:tcPr>
            <w:tcW w:w="7129" w:type="dxa"/>
          </w:tcPr>
          <w:p w14:paraId="6F0C06DC" w14:textId="77777777" w:rsidR="00D836C4" w:rsidRDefault="00D836C4" w:rsidP="00D836C4">
            <w:pPr>
              <w:pStyle w:val="TableText"/>
            </w:pPr>
          </w:p>
        </w:tc>
      </w:tr>
    </w:tbl>
    <w:p w14:paraId="26837E4D" w14:textId="1227C34B" w:rsidR="000727B3" w:rsidRDefault="000727B3"/>
    <w:p w14:paraId="5EE85593" w14:textId="057C9C7C" w:rsidR="000727B3" w:rsidRDefault="000727B3">
      <w:r>
        <w:t>General Comments</w:t>
      </w:r>
    </w:p>
    <w:tbl>
      <w:tblPr>
        <w:tblStyle w:val="TableGrid"/>
        <w:tblW w:w="0" w:type="auto"/>
        <w:tblLook w:val="04A0" w:firstRow="1" w:lastRow="0" w:firstColumn="1" w:lastColumn="0" w:noHBand="0" w:noVBand="1"/>
      </w:tblPr>
      <w:tblGrid>
        <w:gridCol w:w="3459"/>
        <w:gridCol w:w="10206"/>
      </w:tblGrid>
      <w:tr w:rsidR="000727B3" w:rsidRPr="000727B3" w14:paraId="5CBEA44A" w14:textId="77777777" w:rsidTr="000727B3">
        <w:trPr>
          <w:cnfStyle w:val="100000000000" w:firstRow="1" w:lastRow="0" w:firstColumn="0" w:lastColumn="0" w:oddVBand="0" w:evenVBand="0" w:oddHBand="0" w:evenHBand="0" w:firstRowFirstColumn="0" w:firstRowLastColumn="0" w:lastRowFirstColumn="0" w:lastRowLastColumn="0"/>
          <w:cantSplit/>
        </w:trPr>
        <w:tc>
          <w:tcPr>
            <w:tcW w:w="3459" w:type="dxa"/>
          </w:tcPr>
          <w:p w14:paraId="446F21B8" w14:textId="32461D4F" w:rsidR="000727B3" w:rsidRPr="000727B3" w:rsidRDefault="000727B3" w:rsidP="000727B3">
            <w:pPr>
              <w:pStyle w:val="TableHeaderText"/>
            </w:pPr>
            <w:r w:rsidRPr="000727B3">
              <w:t>Reference</w:t>
            </w:r>
          </w:p>
        </w:tc>
        <w:tc>
          <w:tcPr>
            <w:tcW w:w="10206" w:type="dxa"/>
          </w:tcPr>
          <w:p w14:paraId="766D5E11" w14:textId="7DC59A9C" w:rsidR="000727B3" w:rsidRPr="000727B3" w:rsidRDefault="000727B3" w:rsidP="000727B3">
            <w:pPr>
              <w:pStyle w:val="TableHeaderText"/>
            </w:pPr>
            <w:r>
              <w:t>Response</w:t>
            </w:r>
          </w:p>
        </w:tc>
      </w:tr>
      <w:tr w:rsidR="000727B3" w14:paraId="07995D3B" w14:textId="77777777" w:rsidTr="000727B3">
        <w:trPr>
          <w:cnfStyle w:val="000000100000" w:firstRow="0" w:lastRow="0" w:firstColumn="0" w:lastColumn="0" w:oddVBand="0" w:evenVBand="0" w:oddHBand="1" w:evenHBand="0" w:firstRowFirstColumn="0" w:firstRowLastColumn="0" w:lastRowFirstColumn="0" w:lastRowLastColumn="0"/>
          <w:cantSplit/>
        </w:trPr>
        <w:tc>
          <w:tcPr>
            <w:tcW w:w="3459" w:type="dxa"/>
          </w:tcPr>
          <w:p w14:paraId="71927130" w14:textId="77777777" w:rsidR="000727B3" w:rsidRPr="000727B3" w:rsidRDefault="000727B3" w:rsidP="000727B3">
            <w:pPr>
              <w:pStyle w:val="TableText"/>
              <w:rPr>
                <w:b/>
              </w:rPr>
            </w:pPr>
          </w:p>
        </w:tc>
        <w:tc>
          <w:tcPr>
            <w:tcW w:w="10206" w:type="dxa"/>
          </w:tcPr>
          <w:p w14:paraId="1A0D343A" w14:textId="77777777" w:rsidR="000727B3" w:rsidRDefault="000727B3" w:rsidP="00D836C4">
            <w:pPr>
              <w:pStyle w:val="TableText"/>
            </w:pPr>
          </w:p>
        </w:tc>
      </w:tr>
    </w:tbl>
    <w:p w14:paraId="76AE2258" w14:textId="77777777" w:rsidR="000711DD" w:rsidRPr="00CD6304" w:rsidRDefault="000711DD" w:rsidP="00491E51">
      <w:pPr>
        <w:spacing w:line="240" w:lineRule="auto"/>
        <w:jc w:val="both"/>
        <w:rPr>
          <w:color w:val="244061"/>
        </w:rPr>
      </w:pPr>
    </w:p>
    <w:sectPr w:rsidR="000711DD" w:rsidRPr="00CD6304" w:rsidSect="00D836C4">
      <w:headerReference w:type="default" r:id="rId14"/>
      <w:footerReference w:type="default" r:id="rId15"/>
      <w:headerReference w:type="first" r:id="rId16"/>
      <w:footerReference w:type="first" r:id="rId17"/>
      <w:pgSz w:w="16838" w:h="11906" w:orient="landscape" w:code="9"/>
      <w:pgMar w:top="1418" w:right="1812" w:bottom="1418" w:left="1276" w:header="9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C934" w14:textId="77777777" w:rsidR="00C81034" w:rsidRDefault="00C81034" w:rsidP="001E3981">
      <w:r>
        <w:separator/>
      </w:r>
    </w:p>
  </w:endnote>
  <w:endnote w:type="continuationSeparator" w:id="0">
    <w:p w14:paraId="12B7F2FB" w14:textId="77777777" w:rsidR="00C81034" w:rsidRDefault="00C81034"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Cn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344F" w14:textId="5C3E4CFA" w:rsidR="00955704" w:rsidRPr="00F410CF" w:rsidRDefault="00955704" w:rsidP="00F410CF">
    <w:pPr>
      <w:pStyle w:val="Footer"/>
      <w:rPr>
        <w:color w:val="002060"/>
        <w:sz w:val="16"/>
      </w:rPr>
    </w:pPr>
    <w:r>
      <w:rPr>
        <w:noProof/>
        <w:color w:val="002060"/>
      </w:rPr>
      <mc:AlternateContent>
        <mc:Choice Requires="wps">
          <w:drawing>
            <wp:anchor distT="0" distB="0" distL="114300" distR="114300" simplePos="0" relativeHeight="251708416" behindDoc="1" locked="1" layoutInCell="1" allowOverlap="1" wp14:anchorId="60249815" wp14:editId="76EB591C">
              <wp:simplePos x="0" y="0"/>
              <wp:positionH relativeFrom="page">
                <wp:posOffset>900430</wp:posOffset>
              </wp:positionH>
              <wp:positionV relativeFrom="page">
                <wp:posOffset>10074275</wp:posOffset>
              </wp:positionV>
              <wp:extent cx="5760085" cy="0"/>
              <wp:effectExtent l="5080" t="6350" r="6985" b="1270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AA94" id="Line 145"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FPFQIAACo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NM7gU8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sidR="006D3268">
      <w:rPr>
        <w:color w:val="002060"/>
        <w:sz w:val="16"/>
      </w:rPr>
      <w:t xml:space="preserve">Submission in response to </w:t>
    </w:r>
    <w:r w:rsidR="00745A44">
      <w:rPr>
        <w:color w:val="002060"/>
        <w:sz w:val="16"/>
      </w:rPr>
      <w:t>Gas Market Parameter Review 2018 – Consultation Paper</w:t>
    </w:r>
  </w:p>
  <w:p w14:paraId="5095B0C9" w14:textId="01BFA714" w:rsidR="00955704" w:rsidRPr="00F410CF" w:rsidRDefault="00955704" w:rsidP="00D836C4">
    <w:pPr>
      <w:pStyle w:val="NOCFooter"/>
      <w:tabs>
        <w:tab w:val="clear" w:pos="9072"/>
        <w:tab w:val="right" w:pos="13750"/>
      </w:tabs>
    </w:pPr>
    <w:r w:rsidRPr="00F410CF">
      <w:t>Issue Date:</w:t>
    </w:r>
    <w:r w:rsidR="00EE5DC9">
      <w:t xml:space="preserve"> </w:t>
    </w:r>
    <w:r w:rsidR="00745A44">
      <w:rPr>
        <w:b/>
      </w:rPr>
      <w:t>8 December 2017</w:t>
    </w:r>
    <w:r w:rsidRPr="00F410CF">
      <w:rPr>
        <w:rStyle w:val="Guidelines"/>
        <w:color w:val="002060"/>
      </w:rPr>
      <w:tab/>
    </w:r>
    <w:r w:rsidRPr="00F410CF">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747B67">
      <w:rPr>
        <w:rStyle w:val="PageNumber"/>
        <w:noProof/>
        <w:color w:val="002060"/>
      </w:rPr>
      <w:t>2</w:t>
    </w:r>
    <w:r w:rsidRPr="00F410CF">
      <w:rPr>
        <w:rStyle w:val="PageNumber"/>
        <w:color w:val="002060"/>
      </w:rPr>
      <w:fldChar w:fldCharType="end"/>
    </w:r>
    <w:r w:rsidRPr="00F410CF">
      <w:rPr>
        <w:rStyle w:val="PageNumber"/>
        <w:color w:val="002060"/>
      </w:rPr>
      <w:t xml:space="preserve"> of </w:t>
    </w:r>
    <w:r w:rsidR="00747B67">
      <w:fldChar w:fldCharType="begin"/>
    </w:r>
    <w:r w:rsidR="00747B67">
      <w:instrText xml:space="preserve"> NUMPAGES  \* MERGEFORMAT </w:instrText>
    </w:r>
    <w:r w:rsidR="00747B67">
      <w:fldChar w:fldCharType="separate"/>
    </w:r>
    <w:r w:rsidR="00747B67" w:rsidRPr="00747B67">
      <w:rPr>
        <w:rStyle w:val="PageNumber"/>
        <w:noProof/>
        <w:color w:val="002060"/>
      </w:rPr>
      <w:t>3</w:t>
    </w:r>
    <w:r w:rsidR="00747B67">
      <w:rPr>
        <w:rStyle w:val="PageNumber"/>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438D" w14:textId="0C9A9222" w:rsidR="00955704" w:rsidRPr="00F410CF" w:rsidRDefault="00955704" w:rsidP="00D836C4">
    <w:pPr>
      <w:pStyle w:val="NOCFooter"/>
      <w:tabs>
        <w:tab w:val="clear" w:pos="9072"/>
        <w:tab w:val="right" w:pos="13152"/>
      </w:tabs>
      <w:rPr>
        <w:color w:val="002060"/>
      </w:rPr>
    </w:pPr>
    <w:r w:rsidRPr="00F410CF">
      <w:rPr>
        <w:rStyle w:val="Guidelines"/>
        <w:color w:val="002060"/>
      </w:rPr>
      <w:tab/>
    </w:r>
    <w:r w:rsidRPr="00F410CF">
      <w:rPr>
        <w:color w:val="002060"/>
      </w:rPr>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747B67">
      <w:rPr>
        <w:rStyle w:val="PageNumber"/>
        <w:noProof/>
        <w:color w:val="002060"/>
      </w:rPr>
      <w:t>1</w:t>
    </w:r>
    <w:r w:rsidRPr="00F410CF">
      <w:rPr>
        <w:rStyle w:val="PageNumber"/>
        <w:color w:val="002060"/>
      </w:rPr>
      <w:fldChar w:fldCharType="end"/>
    </w:r>
    <w:r w:rsidRPr="00F410CF">
      <w:rPr>
        <w:rStyle w:val="PageNumber"/>
        <w:color w:val="002060"/>
      </w:rPr>
      <w:t xml:space="preserve"> of </w:t>
    </w:r>
    <w:r w:rsidR="00747B67">
      <w:fldChar w:fldCharType="begin"/>
    </w:r>
    <w:r w:rsidR="00747B67">
      <w:instrText xml:space="preserve"> NUMPAGES  \* MERGEFORMAT </w:instrText>
    </w:r>
    <w:r w:rsidR="00747B67">
      <w:fldChar w:fldCharType="separate"/>
    </w:r>
    <w:r w:rsidR="00747B67" w:rsidRPr="00747B67">
      <w:rPr>
        <w:rStyle w:val="PageNumber"/>
        <w:noProof/>
        <w:color w:val="002060"/>
      </w:rPr>
      <w:t>3</w:t>
    </w:r>
    <w:r w:rsidR="00747B67">
      <w:rPr>
        <w:rStyle w:val="PageNumber"/>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5798" w14:textId="77777777" w:rsidR="00C81034" w:rsidRDefault="00C81034" w:rsidP="001E3981">
      <w:r>
        <w:separator/>
      </w:r>
    </w:p>
  </w:footnote>
  <w:footnote w:type="continuationSeparator" w:id="0">
    <w:p w14:paraId="37D40164" w14:textId="77777777" w:rsidR="00C81034" w:rsidRDefault="00C81034"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712E" w14:textId="77777777" w:rsidR="00955704" w:rsidRDefault="00955704">
    <w:r>
      <w:rPr>
        <w:noProof/>
      </w:rPr>
      <w:drawing>
        <wp:anchor distT="0" distB="0" distL="114300" distR="114300" simplePos="0" relativeHeight="251656704" behindDoc="1" locked="1" layoutInCell="1" allowOverlap="1" wp14:anchorId="0B6DEB04" wp14:editId="72E92E1A">
          <wp:simplePos x="0" y="0"/>
          <wp:positionH relativeFrom="margin">
            <wp:align>right</wp:align>
          </wp:positionH>
          <wp:positionV relativeFrom="topMargin">
            <wp:align>bottom</wp:align>
          </wp:positionV>
          <wp:extent cx="1987550" cy="660400"/>
          <wp:effectExtent l="0" t="0" r="0" b="6350"/>
          <wp:wrapNone/>
          <wp:docPr id="11" name="Picture 10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etterhead-logo"/>
                  <pic:cNvPicPr>
                    <a:picLocks noChangeAspect="1" noChangeArrowheads="1"/>
                  </pic:cNvPicPr>
                </pic:nvPicPr>
                <pic:blipFill>
                  <a:blip r:embed="rId1"/>
                  <a:srcRect/>
                  <a:stretch>
                    <a:fillRect/>
                  </a:stretch>
                </pic:blipFill>
                <pic:spPr bwMode="auto">
                  <a:xfrm>
                    <a:off x="0" y="0"/>
                    <a:ext cx="1987550" cy="660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0001" w14:textId="77777777" w:rsidR="00955704" w:rsidRPr="00C47AE7" w:rsidRDefault="00955704" w:rsidP="00C47AE7">
    <w:r>
      <w:rPr>
        <w:noProof/>
        <w:sz w:val="4"/>
      </w:rPr>
      <w:drawing>
        <wp:anchor distT="0" distB="0" distL="114300" distR="114300" simplePos="0" relativeHeight="251658752" behindDoc="1" locked="1" layoutInCell="1" allowOverlap="1" wp14:anchorId="3DC66E33" wp14:editId="0DFF30A6">
          <wp:simplePos x="0" y="0"/>
          <wp:positionH relativeFrom="margin">
            <wp:align>right</wp:align>
          </wp:positionH>
          <wp:positionV relativeFrom="page">
            <wp:posOffset>565150</wp:posOffset>
          </wp:positionV>
          <wp:extent cx="1986915" cy="658495"/>
          <wp:effectExtent l="0" t="0" r="0" b="8255"/>
          <wp:wrapNone/>
          <wp:docPr id="12"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986915" cy="65849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C27E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CA09418"/>
    <w:lvl w:ilvl="0">
      <w:start w:val="1"/>
      <w:numFmt w:val="decimal"/>
      <w:lvlText w:val="%1."/>
      <w:lvlJc w:val="left"/>
      <w:pPr>
        <w:tabs>
          <w:tab w:val="num" w:pos="283"/>
        </w:tabs>
        <w:ind w:left="283" w:hanging="283"/>
      </w:pPr>
      <w:rPr>
        <w:rFonts w:ascii="Zurich Cn BT" w:hAnsi="Zurich Cn BT" w:hint="default"/>
        <w:b/>
        <w:i w:val="0"/>
      </w:rPr>
    </w:lvl>
  </w:abstractNum>
  <w:abstractNum w:abstractNumId="2" w15:restartNumberingAfterBreak="0">
    <w:nsid w:val="FFFFFF89"/>
    <w:multiLevelType w:val="singleLevel"/>
    <w:tmpl w:val="7B388E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644E0"/>
    <w:multiLevelType w:val="singleLevel"/>
    <w:tmpl w:val="E6F8567C"/>
    <w:lvl w:ilvl="0">
      <w:start w:val="1"/>
      <w:numFmt w:val="bullet"/>
      <w:lvlText w:val=""/>
      <w:lvlJc w:val="left"/>
      <w:pPr>
        <w:tabs>
          <w:tab w:val="num" w:pos="360"/>
        </w:tabs>
        <w:ind w:left="170" w:hanging="170"/>
      </w:pPr>
      <w:rPr>
        <w:rFonts w:ascii="Symbol" w:hAnsi="Symbol" w:hint="default"/>
        <w:position w:val="2"/>
        <w:sz w:val="16"/>
      </w:rPr>
    </w:lvl>
  </w:abstractNum>
  <w:abstractNum w:abstractNumId="4" w15:restartNumberingAfterBreak="0">
    <w:nsid w:val="0CB475FB"/>
    <w:multiLevelType w:val="hybridMultilevel"/>
    <w:tmpl w:val="629C7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D6565"/>
    <w:multiLevelType w:val="hybridMultilevel"/>
    <w:tmpl w:val="D360C108"/>
    <w:lvl w:ilvl="0" w:tplc="C5A4AC1E">
      <w:start w:val="1"/>
      <w:numFmt w:val="decimal"/>
      <w:pStyle w:val="NOC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420A6"/>
    <w:multiLevelType w:val="hybridMultilevel"/>
    <w:tmpl w:val="8038883A"/>
    <w:lvl w:ilvl="0" w:tplc="C79C6126">
      <w:start w:val="1"/>
      <w:numFmt w:val="bullet"/>
      <w:lvlText w:val="•"/>
      <w:lvlJc w:val="left"/>
      <w:pPr>
        <w:tabs>
          <w:tab w:val="num" w:pos="794"/>
        </w:tabs>
        <w:ind w:left="794" w:hanging="39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F0B05"/>
    <w:multiLevelType w:val="multilevel"/>
    <w:tmpl w:val="51A6C34E"/>
    <w:lvl w:ilvl="0">
      <w:start w:val="1"/>
      <w:numFmt w:val="bullet"/>
      <w:lvlText w:val="•"/>
      <w:lvlJc w:val="left"/>
      <w:pPr>
        <w:tabs>
          <w:tab w:val="num" w:pos="568"/>
        </w:tabs>
        <w:ind w:left="568"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00FBB"/>
    <w:multiLevelType w:val="hybridMultilevel"/>
    <w:tmpl w:val="5770FB20"/>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307E203F"/>
    <w:multiLevelType w:val="hybridMultilevel"/>
    <w:tmpl w:val="FFAABDF8"/>
    <w:lvl w:ilvl="0" w:tplc="650028D0">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30920E9D"/>
    <w:multiLevelType w:val="multilevel"/>
    <w:tmpl w:val="3154DC0C"/>
    <w:lvl w:ilvl="0">
      <w:start w:val="1"/>
      <w:numFmt w:val="lowerLetter"/>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556EEF"/>
    <w:multiLevelType w:val="multilevel"/>
    <w:tmpl w:val="6B16979E"/>
    <w:lvl w:ilvl="0">
      <w:start w:val="1"/>
      <w:numFmt w:val="bullet"/>
      <w:lvlText w:val="–"/>
      <w:lvlJc w:val="left"/>
      <w:pPr>
        <w:tabs>
          <w:tab w:val="num" w:pos="567"/>
        </w:tabs>
        <w:ind w:left="567" w:hanging="283"/>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4678D"/>
    <w:multiLevelType w:val="hybridMultilevel"/>
    <w:tmpl w:val="4C84D484"/>
    <w:lvl w:ilvl="0" w:tplc="0C090017">
      <w:start w:val="1"/>
      <w:numFmt w:val="lowerLetter"/>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F43948"/>
    <w:multiLevelType w:val="hybridMultilevel"/>
    <w:tmpl w:val="6B16979E"/>
    <w:lvl w:ilvl="0" w:tplc="3C362C92">
      <w:start w:val="1"/>
      <w:numFmt w:val="bullet"/>
      <w:lvlText w:val="–"/>
      <w:lvlJc w:val="left"/>
      <w:pPr>
        <w:tabs>
          <w:tab w:val="num" w:pos="567"/>
        </w:tabs>
        <w:ind w:left="567" w:hanging="283"/>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37CBC"/>
    <w:multiLevelType w:val="hybridMultilevel"/>
    <w:tmpl w:val="EA844BAE"/>
    <w:lvl w:ilvl="0" w:tplc="93EEB7B4">
      <w:start w:val="1"/>
      <w:numFmt w:val="lowerLetter"/>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990AC2"/>
    <w:multiLevelType w:val="hybridMultilevel"/>
    <w:tmpl w:val="A1EC72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B7EBD22">
      <w:start w:val="1"/>
      <w:numFmt w:val="decimal"/>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A801FE"/>
    <w:multiLevelType w:val="hybridMultilevel"/>
    <w:tmpl w:val="3BE66DBE"/>
    <w:lvl w:ilvl="0" w:tplc="FB7EBD22">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450A51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4420E"/>
    <w:multiLevelType w:val="hybridMultilevel"/>
    <w:tmpl w:val="C0E6B544"/>
    <w:lvl w:ilvl="0" w:tplc="0C09001B">
      <w:start w:val="1"/>
      <w:numFmt w:val="lowerRoman"/>
      <w:lvlText w:val="%1."/>
      <w:lvlJc w:val="righ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7303708"/>
    <w:multiLevelType w:val="multilevel"/>
    <w:tmpl w:val="C3AA0DC4"/>
    <w:lvl w:ilvl="0">
      <w:start w:val="1"/>
      <w:numFmt w:val="decimal"/>
      <w:lvlText w:val="%1."/>
      <w:lvlJc w:val="left"/>
      <w:pPr>
        <w:tabs>
          <w:tab w:val="num" w:pos="0"/>
        </w:tabs>
        <w:ind w:left="284" w:hanging="28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33C3A"/>
    <w:multiLevelType w:val="hybridMultilevel"/>
    <w:tmpl w:val="9154DC8E"/>
    <w:lvl w:ilvl="0" w:tplc="5F6AFE6C">
      <w:start w:val="1"/>
      <w:numFmt w:val="lowerLetter"/>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88E20E1"/>
    <w:multiLevelType w:val="hybridMultilevel"/>
    <w:tmpl w:val="A02058F8"/>
    <w:lvl w:ilvl="0" w:tplc="4EF21B7C">
      <w:start w:val="1"/>
      <w:numFmt w:val="lowerRoman"/>
      <w:pStyle w:val="NOCIndentedNumb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E14BF"/>
    <w:multiLevelType w:val="multilevel"/>
    <w:tmpl w:val="19DA2858"/>
    <w:lvl w:ilvl="0">
      <w:start w:val="1"/>
      <w:numFmt w:val="bullet"/>
      <w:pStyle w:val="ListBullet"/>
      <w:lvlText w:val=""/>
      <w:lvlJc w:val="left"/>
      <w:pPr>
        <w:tabs>
          <w:tab w:val="num" w:pos="397"/>
        </w:tabs>
        <w:ind w:left="397" w:hanging="397"/>
      </w:pPr>
      <w:rPr>
        <w:rFonts w:ascii="Symbol" w:hAnsi="Symbol" w:hint="default"/>
        <w:color w:val="auto"/>
        <w:position w:val="2"/>
        <w:sz w:val="18"/>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82D092E"/>
    <w:multiLevelType w:val="multilevel"/>
    <w:tmpl w:val="F340762E"/>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E710EF"/>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9E6997"/>
    <w:multiLevelType w:val="hybridMultilevel"/>
    <w:tmpl w:val="E27AF432"/>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903870"/>
    <w:multiLevelType w:val="hybridMultilevel"/>
    <w:tmpl w:val="55EE15E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62C3151A"/>
    <w:multiLevelType w:val="hybridMultilevel"/>
    <w:tmpl w:val="E9840F0C"/>
    <w:lvl w:ilvl="0" w:tplc="8216EA20">
      <w:start w:val="1"/>
      <w:numFmt w:val="bullet"/>
      <w:pStyle w:val="NOCIndented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55E1293"/>
    <w:multiLevelType w:val="hybridMultilevel"/>
    <w:tmpl w:val="935A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94514"/>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1852A6"/>
    <w:multiLevelType w:val="hybridMultilevel"/>
    <w:tmpl w:val="6F7EB6CA"/>
    <w:lvl w:ilvl="0" w:tplc="CBE0FF8E">
      <w:start w:val="1"/>
      <w:numFmt w:val="decimal"/>
      <w:lvlText w:val="(%1)"/>
      <w:lvlJc w:val="left"/>
      <w:pPr>
        <w:ind w:left="1429" w:hanging="360"/>
      </w:pPr>
      <w:rPr>
        <w:rFonts w:hint="default"/>
        <w:color w:val="auto"/>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DDA7227"/>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3"/>
  </w:num>
  <w:num w:numId="15">
    <w:abstractNumId w:val="17"/>
  </w:num>
  <w:num w:numId="16">
    <w:abstractNumId w:val="13"/>
  </w:num>
  <w:num w:numId="17">
    <w:abstractNumId w:val="14"/>
  </w:num>
  <w:num w:numId="18">
    <w:abstractNumId w:val="11"/>
  </w:num>
  <w:num w:numId="19">
    <w:abstractNumId w:val="6"/>
  </w:num>
  <w:num w:numId="20">
    <w:abstractNumId w:val="19"/>
  </w:num>
  <w:num w:numId="21">
    <w:abstractNumId w:val="7"/>
  </w:num>
  <w:num w:numId="22">
    <w:abstractNumId w:val="10"/>
  </w:num>
  <w:num w:numId="23">
    <w:abstractNumId w:val="23"/>
  </w:num>
  <w:num w:numId="24">
    <w:abstractNumId w:val="22"/>
  </w:num>
  <w:num w:numId="25">
    <w:abstractNumId w:val="5"/>
  </w:num>
  <w:num w:numId="26">
    <w:abstractNumId w:val="27"/>
  </w:num>
  <w:num w:numId="27">
    <w:abstractNumId w:val="21"/>
  </w:num>
  <w:num w:numId="28">
    <w:abstractNumId w:val="28"/>
  </w:num>
  <w:num w:numId="29">
    <w:abstractNumId w:val="12"/>
  </w:num>
  <w:num w:numId="30">
    <w:abstractNumId w:val="18"/>
  </w:num>
  <w:num w:numId="31">
    <w:abstractNumId w:val="15"/>
  </w:num>
  <w:num w:numId="32">
    <w:abstractNumId w:val="16"/>
  </w:num>
  <w:num w:numId="33">
    <w:abstractNumId w:val="26"/>
  </w:num>
  <w:num w:numId="34">
    <w:abstractNumId w:val="20"/>
  </w:num>
  <w:num w:numId="35">
    <w:abstractNumId w:val="31"/>
  </w:num>
  <w:num w:numId="36">
    <w:abstractNumId w:val="9"/>
  </w:num>
  <w:num w:numId="37">
    <w:abstractNumId w:val="29"/>
  </w:num>
  <w:num w:numId="38">
    <w:abstractNumId w:val="24"/>
  </w:num>
  <w:num w:numId="39">
    <w:abstractNumId w:val="30"/>
  </w:num>
  <w:num w:numId="40">
    <w:abstractNumId w:val="8"/>
  </w:num>
  <w:num w:numId="41">
    <w:abstractNumId w:val="25"/>
  </w:num>
  <w:num w:numId="42">
    <w:abstractNumId w:val="4"/>
  </w:num>
  <w:num w:numId="4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228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橄ㄴ폐б૳찔㈇"/>
    <w:docVar w:name="PrintLogo" w:val="w:docVa"/>
  </w:docVars>
  <w:rsids>
    <w:rsidRoot w:val="00C81034"/>
    <w:rsid w:val="00007902"/>
    <w:rsid w:val="00014E1C"/>
    <w:rsid w:val="00017625"/>
    <w:rsid w:val="000711DD"/>
    <w:rsid w:val="000727B3"/>
    <w:rsid w:val="00090AB5"/>
    <w:rsid w:val="000B169A"/>
    <w:rsid w:val="000B6EBE"/>
    <w:rsid w:val="000C7DBD"/>
    <w:rsid w:val="000D3573"/>
    <w:rsid w:val="000E739B"/>
    <w:rsid w:val="000F09A7"/>
    <w:rsid w:val="000F3C8D"/>
    <w:rsid w:val="000F4190"/>
    <w:rsid w:val="001119DB"/>
    <w:rsid w:val="0011405A"/>
    <w:rsid w:val="00116F30"/>
    <w:rsid w:val="00121F1F"/>
    <w:rsid w:val="00123C6C"/>
    <w:rsid w:val="001246BB"/>
    <w:rsid w:val="001441F5"/>
    <w:rsid w:val="0014754D"/>
    <w:rsid w:val="00155375"/>
    <w:rsid w:val="001564BE"/>
    <w:rsid w:val="00163609"/>
    <w:rsid w:val="00180246"/>
    <w:rsid w:val="001971CC"/>
    <w:rsid w:val="001A15FD"/>
    <w:rsid w:val="001A2171"/>
    <w:rsid w:val="001C7E4F"/>
    <w:rsid w:val="001D5DAE"/>
    <w:rsid w:val="001E3981"/>
    <w:rsid w:val="001F12E3"/>
    <w:rsid w:val="001F1A5F"/>
    <w:rsid w:val="00216285"/>
    <w:rsid w:val="002448DF"/>
    <w:rsid w:val="00250FF5"/>
    <w:rsid w:val="002615AD"/>
    <w:rsid w:val="002637BC"/>
    <w:rsid w:val="00263B25"/>
    <w:rsid w:val="002759FB"/>
    <w:rsid w:val="00277601"/>
    <w:rsid w:val="002833C2"/>
    <w:rsid w:val="00283919"/>
    <w:rsid w:val="002873DD"/>
    <w:rsid w:val="00287805"/>
    <w:rsid w:val="002B0B02"/>
    <w:rsid w:val="002C6726"/>
    <w:rsid w:val="002C7619"/>
    <w:rsid w:val="002D12F3"/>
    <w:rsid w:val="002D6C90"/>
    <w:rsid w:val="002E0860"/>
    <w:rsid w:val="002E1511"/>
    <w:rsid w:val="002E39E3"/>
    <w:rsid w:val="002F384A"/>
    <w:rsid w:val="00305239"/>
    <w:rsid w:val="003067DD"/>
    <w:rsid w:val="00307504"/>
    <w:rsid w:val="00307D90"/>
    <w:rsid w:val="003173B8"/>
    <w:rsid w:val="00323D5A"/>
    <w:rsid w:val="00342124"/>
    <w:rsid w:val="00345C90"/>
    <w:rsid w:val="00346940"/>
    <w:rsid w:val="00356195"/>
    <w:rsid w:val="00356644"/>
    <w:rsid w:val="00361FF4"/>
    <w:rsid w:val="003628C9"/>
    <w:rsid w:val="003A1B54"/>
    <w:rsid w:val="003B336A"/>
    <w:rsid w:val="003C35A6"/>
    <w:rsid w:val="003D4351"/>
    <w:rsid w:val="003F14EE"/>
    <w:rsid w:val="003F6D54"/>
    <w:rsid w:val="003F7CE0"/>
    <w:rsid w:val="00411DF8"/>
    <w:rsid w:val="00422A2B"/>
    <w:rsid w:val="00436FA3"/>
    <w:rsid w:val="00437CED"/>
    <w:rsid w:val="004458D1"/>
    <w:rsid w:val="00454EC3"/>
    <w:rsid w:val="00455CD4"/>
    <w:rsid w:val="00470499"/>
    <w:rsid w:val="004725A5"/>
    <w:rsid w:val="0048289A"/>
    <w:rsid w:val="00491E51"/>
    <w:rsid w:val="00492A12"/>
    <w:rsid w:val="004B3396"/>
    <w:rsid w:val="004B3BC9"/>
    <w:rsid w:val="004B3EA2"/>
    <w:rsid w:val="004C290D"/>
    <w:rsid w:val="004D0F2F"/>
    <w:rsid w:val="004D26BF"/>
    <w:rsid w:val="004F0FF1"/>
    <w:rsid w:val="004F2DB9"/>
    <w:rsid w:val="005058EC"/>
    <w:rsid w:val="00510DB6"/>
    <w:rsid w:val="00511D95"/>
    <w:rsid w:val="005158B3"/>
    <w:rsid w:val="005201A1"/>
    <w:rsid w:val="00522221"/>
    <w:rsid w:val="0053195B"/>
    <w:rsid w:val="00546945"/>
    <w:rsid w:val="00560900"/>
    <w:rsid w:val="00570485"/>
    <w:rsid w:val="005811C0"/>
    <w:rsid w:val="00594FFD"/>
    <w:rsid w:val="00596D40"/>
    <w:rsid w:val="005A5A98"/>
    <w:rsid w:val="005B4DA7"/>
    <w:rsid w:val="005C201F"/>
    <w:rsid w:val="005C2B4B"/>
    <w:rsid w:val="005C437C"/>
    <w:rsid w:val="005C59A0"/>
    <w:rsid w:val="005E1FB1"/>
    <w:rsid w:val="005F010B"/>
    <w:rsid w:val="005F2B56"/>
    <w:rsid w:val="00617D69"/>
    <w:rsid w:val="00622448"/>
    <w:rsid w:val="00623B6D"/>
    <w:rsid w:val="00632CEA"/>
    <w:rsid w:val="00673927"/>
    <w:rsid w:val="006C7622"/>
    <w:rsid w:val="006D1675"/>
    <w:rsid w:val="006D2D2A"/>
    <w:rsid w:val="006D3268"/>
    <w:rsid w:val="006E5404"/>
    <w:rsid w:val="006E79D2"/>
    <w:rsid w:val="006F1571"/>
    <w:rsid w:val="006F296D"/>
    <w:rsid w:val="006F4A60"/>
    <w:rsid w:val="006F6443"/>
    <w:rsid w:val="00707A9A"/>
    <w:rsid w:val="00711C30"/>
    <w:rsid w:val="00714F49"/>
    <w:rsid w:val="00716B97"/>
    <w:rsid w:val="00716E23"/>
    <w:rsid w:val="007225AE"/>
    <w:rsid w:val="00734844"/>
    <w:rsid w:val="00735B48"/>
    <w:rsid w:val="00736D66"/>
    <w:rsid w:val="0073776E"/>
    <w:rsid w:val="00745A44"/>
    <w:rsid w:val="00747B67"/>
    <w:rsid w:val="0078658D"/>
    <w:rsid w:val="007A3C1A"/>
    <w:rsid w:val="007A3EF8"/>
    <w:rsid w:val="007B2B0E"/>
    <w:rsid w:val="007B4DD1"/>
    <w:rsid w:val="007C27E2"/>
    <w:rsid w:val="007F309E"/>
    <w:rsid w:val="007F319F"/>
    <w:rsid w:val="00800F34"/>
    <w:rsid w:val="008054C9"/>
    <w:rsid w:val="00821B7A"/>
    <w:rsid w:val="00837280"/>
    <w:rsid w:val="0083799A"/>
    <w:rsid w:val="00852DA0"/>
    <w:rsid w:val="00856E1B"/>
    <w:rsid w:val="0086785A"/>
    <w:rsid w:val="0087598D"/>
    <w:rsid w:val="00886978"/>
    <w:rsid w:val="00893720"/>
    <w:rsid w:val="00895FF1"/>
    <w:rsid w:val="008A6B80"/>
    <w:rsid w:val="008D2EC4"/>
    <w:rsid w:val="008E3002"/>
    <w:rsid w:val="008F0BE5"/>
    <w:rsid w:val="008F5498"/>
    <w:rsid w:val="00903866"/>
    <w:rsid w:val="009145DD"/>
    <w:rsid w:val="00914C75"/>
    <w:rsid w:val="00922741"/>
    <w:rsid w:val="0092332A"/>
    <w:rsid w:val="00924604"/>
    <w:rsid w:val="0092533C"/>
    <w:rsid w:val="00930060"/>
    <w:rsid w:val="00945604"/>
    <w:rsid w:val="00955704"/>
    <w:rsid w:val="00957647"/>
    <w:rsid w:val="00965A58"/>
    <w:rsid w:val="00981757"/>
    <w:rsid w:val="00983AE4"/>
    <w:rsid w:val="0099055E"/>
    <w:rsid w:val="00990EFE"/>
    <w:rsid w:val="009B093E"/>
    <w:rsid w:val="009B2B99"/>
    <w:rsid w:val="009E5101"/>
    <w:rsid w:val="009E62C8"/>
    <w:rsid w:val="009F0EA3"/>
    <w:rsid w:val="009F3106"/>
    <w:rsid w:val="00A0241F"/>
    <w:rsid w:val="00A02F84"/>
    <w:rsid w:val="00A04D2B"/>
    <w:rsid w:val="00A225CD"/>
    <w:rsid w:val="00A244B4"/>
    <w:rsid w:val="00A408AE"/>
    <w:rsid w:val="00A4637B"/>
    <w:rsid w:val="00A54EC1"/>
    <w:rsid w:val="00A6213B"/>
    <w:rsid w:val="00A6232B"/>
    <w:rsid w:val="00A66425"/>
    <w:rsid w:val="00A71876"/>
    <w:rsid w:val="00A84435"/>
    <w:rsid w:val="00AB338E"/>
    <w:rsid w:val="00AD3E6E"/>
    <w:rsid w:val="00AE5A23"/>
    <w:rsid w:val="00AF6567"/>
    <w:rsid w:val="00AF73C4"/>
    <w:rsid w:val="00B030D5"/>
    <w:rsid w:val="00B07917"/>
    <w:rsid w:val="00B13CC6"/>
    <w:rsid w:val="00B23612"/>
    <w:rsid w:val="00B25E99"/>
    <w:rsid w:val="00B32619"/>
    <w:rsid w:val="00B42E67"/>
    <w:rsid w:val="00B6038D"/>
    <w:rsid w:val="00B7677B"/>
    <w:rsid w:val="00B774D2"/>
    <w:rsid w:val="00B81CDB"/>
    <w:rsid w:val="00B83EA5"/>
    <w:rsid w:val="00B87CBD"/>
    <w:rsid w:val="00B911C2"/>
    <w:rsid w:val="00BA34BD"/>
    <w:rsid w:val="00BB31B7"/>
    <w:rsid w:val="00BB48A7"/>
    <w:rsid w:val="00BB5100"/>
    <w:rsid w:val="00BB5C1D"/>
    <w:rsid w:val="00BE72E2"/>
    <w:rsid w:val="00BF6C56"/>
    <w:rsid w:val="00C030E7"/>
    <w:rsid w:val="00C032E8"/>
    <w:rsid w:val="00C067F7"/>
    <w:rsid w:val="00C105D2"/>
    <w:rsid w:val="00C16824"/>
    <w:rsid w:val="00C17006"/>
    <w:rsid w:val="00C2228A"/>
    <w:rsid w:val="00C42AC2"/>
    <w:rsid w:val="00C4538A"/>
    <w:rsid w:val="00C45D40"/>
    <w:rsid w:val="00C47AE7"/>
    <w:rsid w:val="00C50A4E"/>
    <w:rsid w:val="00C5197B"/>
    <w:rsid w:val="00C520DE"/>
    <w:rsid w:val="00C62C4D"/>
    <w:rsid w:val="00C67D21"/>
    <w:rsid w:val="00C81034"/>
    <w:rsid w:val="00C914E7"/>
    <w:rsid w:val="00CB295C"/>
    <w:rsid w:val="00CC4A70"/>
    <w:rsid w:val="00CC7BE9"/>
    <w:rsid w:val="00CD2786"/>
    <w:rsid w:val="00CD6304"/>
    <w:rsid w:val="00CE0305"/>
    <w:rsid w:val="00D07327"/>
    <w:rsid w:val="00D3082F"/>
    <w:rsid w:val="00D34523"/>
    <w:rsid w:val="00D42678"/>
    <w:rsid w:val="00D509A3"/>
    <w:rsid w:val="00D513D1"/>
    <w:rsid w:val="00D611DC"/>
    <w:rsid w:val="00D652EF"/>
    <w:rsid w:val="00D775AE"/>
    <w:rsid w:val="00D836C4"/>
    <w:rsid w:val="00D85C8B"/>
    <w:rsid w:val="00D955B3"/>
    <w:rsid w:val="00DA608E"/>
    <w:rsid w:val="00DC09E2"/>
    <w:rsid w:val="00DF26FD"/>
    <w:rsid w:val="00DF691A"/>
    <w:rsid w:val="00E017EB"/>
    <w:rsid w:val="00E03C63"/>
    <w:rsid w:val="00E056D1"/>
    <w:rsid w:val="00E118E1"/>
    <w:rsid w:val="00E348A7"/>
    <w:rsid w:val="00E44E62"/>
    <w:rsid w:val="00E620FB"/>
    <w:rsid w:val="00E65C00"/>
    <w:rsid w:val="00E73DD9"/>
    <w:rsid w:val="00E82E12"/>
    <w:rsid w:val="00EA0EBB"/>
    <w:rsid w:val="00EB6E4C"/>
    <w:rsid w:val="00EB7659"/>
    <w:rsid w:val="00EC3782"/>
    <w:rsid w:val="00EE5DC9"/>
    <w:rsid w:val="00EF0BA3"/>
    <w:rsid w:val="00F07AFA"/>
    <w:rsid w:val="00F3589E"/>
    <w:rsid w:val="00F377DD"/>
    <w:rsid w:val="00F410CF"/>
    <w:rsid w:val="00F446B3"/>
    <w:rsid w:val="00F52768"/>
    <w:rsid w:val="00F6539C"/>
    <w:rsid w:val="00F70134"/>
    <w:rsid w:val="00F7798E"/>
    <w:rsid w:val="00F82249"/>
    <w:rsid w:val="00F833DA"/>
    <w:rsid w:val="00FA670E"/>
    <w:rsid w:val="00FC18DC"/>
    <w:rsid w:val="00FC5C87"/>
    <w:rsid w:val="00FD14FB"/>
    <w:rsid w:val="00FD21C7"/>
    <w:rsid w:val="00FE3960"/>
    <w:rsid w:val="00FE6CF5"/>
    <w:rsid w:val="00FF0BB1"/>
    <w:rsid w:val="00FF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d171f,#686868,#948671"/>
    </o:shapedefaults>
    <o:shapelayout v:ext="edit">
      <o:idmap v:ext="edit" data="1"/>
    </o:shapelayout>
  </w:shapeDefaults>
  <w:decimalSymbol w:val="."/>
  <w:listSeparator w:val=","/>
  <w14:docId w14:val="530E063D"/>
  <w15:docId w15:val="{E83DA1EC-FEDF-4812-A0D8-3C9D171C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D4"/>
    <w:pPr>
      <w:tabs>
        <w:tab w:val="left" w:pos="397"/>
        <w:tab w:val="left" w:pos="794"/>
        <w:tab w:val="left" w:pos="1191"/>
      </w:tabs>
      <w:spacing w:after="180" w:line="300" w:lineRule="exact"/>
    </w:pPr>
    <w:rPr>
      <w:rFonts w:ascii="Arial" w:hAnsi="Arial"/>
      <w:sz w:val="22"/>
    </w:rPr>
  </w:style>
  <w:style w:type="paragraph" w:styleId="Heading1">
    <w:name w:val="heading 1"/>
    <w:basedOn w:val="Normal"/>
    <w:next w:val="Normal"/>
    <w:qFormat/>
    <w:rsid w:val="00930060"/>
    <w:pPr>
      <w:spacing w:after="40" w:line="360" w:lineRule="exact"/>
      <w:outlineLvl w:val="0"/>
    </w:pPr>
    <w:rPr>
      <w:caps/>
      <w:color w:val="1E4164"/>
      <w:kern w:val="28"/>
      <w:sz w:val="36"/>
    </w:rPr>
  </w:style>
  <w:style w:type="paragraph" w:styleId="Heading2">
    <w:name w:val="heading 2"/>
    <w:basedOn w:val="Normal"/>
    <w:next w:val="Normal"/>
    <w:qFormat/>
    <w:rsid w:val="00455CD4"/>
    <w:pPr>
      <w:spacing w:line="320" w:lineRule="exact"/>
      <w:outlineLvl w:val="1"/>
    </w:pPr>
    <w:rPr>
      <w:caps/>
      <w:color w:val="1E4164"/>
      <w:sz w:val="24"/>
    </w:rPr>
  </w:style>
  <w:style w:type="paragraph" w:styleId="Heading3">
    <w:name w:val="heading 3"/>
    <w:basedOn w:val="Heading2"/>
    <w:next w:val="Normal"/>
    <w:qFormat/>
    <w:rsid w:val="00455CD4"/>
    <w:pPr>
      <w:spacing w:before="100" w:line="300" w:lineRule="exact"/>
      <w:outlineLvl w:val="2"/>
    </w:pPr>
    <w:rPr>
      <w:color w:val="000000"/>
    </w:rPr>
  </w:style>
  <w:style w:type="paragraph" w:styleId="Heading4">
    <w:name w:val="heading 4"/>
    <w:basedOn w:val="Normal"/>
    <w:next w:val="Normal"/>
    <w:qFormat/>
    <w:rsid w:val="00903866"/>
    <w:pPr>
      <w:keepNext/>
      <w:spacing w:before="120" w:after="240" w:line="320" w:lineRule="exact"/>
      <w:outlineLvl w:val="3"/>
    </w:pPr>
    <w:rPr>
      <w:bCs/>
      <w:color w:val="1E41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2E1511"/>
    <w:pPr>
      <w:numPr>
        <w:numId w:val="23"/>
      </w:numPr>
    </w:pPr>
  </w:style>
  <w:style w:type="character" w:styleId="PlaceholderText">
    <w:name w:val="Placeholder Text"/>
    <w:basedOn w:val="DefaultParagraphFont"/>
    <w:semiHidden/>
    <w:rsid w:val="00570485"/>
    <w:rPr>
      <w:color w:val="808080"/>
    </w:rPr>
  </w:style>
  <w:style w:type="paragraph" w:styleId="ListBullet">
    <w:name w:val="List Bullet"/>
    <w:aliases w:val="List Bullet - AEMO"/>
    <w:basedOn w:val="Normal"/>
    <w:rsid w:val="002E1511"/>
    <w:pPr>
      <w:numPr>
        <w:numId w:val="24"/>
      </w:numPr>
      <w:tabs>
        <w:tab w:val="clear" w:pos="794"/>
        <w:tab w:val="clear" w:pos="1191"/>
      </w:tabs>
    </w:pPr>
    <w:rPr>
      <w:lang w:eastAsia="en-US"/>
    </w:rPr>
  </w:style>
  <w:style w:type="paragraph" w:customStyle="1" w:styleId="BoldSign-Off">
    <w:name w:val="Bold Sign-Off"/>
    <w:basedOn w:val="Normal"/>
    <w:rsid w:val="002E0860"/>
    <w:pPr>
      <w:spacing w:before="120"/>
    </w:pPr>
    <w:rPr>
      <w:b/>
    </w:rPr>
  </w:style>
  <w:style w:type="paragraph" w:customStyle="1" w:styleId="Linespacer">
    <w:name w:val="Line spacer"/>
    <w:basedOn w:val="Normal"/>
    <w:rsid w:val="002E0860"/>
    <w:pPr>
      <w:spacing w:before="60"/>
    </w:pPr>
  </w:style>
  <w:style w:type="paragraph" w:styleId="Header">
    <w:name w:val="header"/>
    <w:basedOn w:val="Normal"/>
    <w:rsid w:val="003F6D54"/>
    <w:pPr>
      <w:tabs>
        <w:tab w:val="clear" w:pos="397"/>
        <w:tab w:val="clear" w:pos="794"/>
        <w:tab w:val="clear" w:pos="1191"/>
        <w:tab w:val="center" w:pos="4153"/>
        <w:tab w:val="right" w:pos="8306"/>
      </w:tabs>
    </w:pPr>
  </w:style>
  <w:style w:type="paragraph" w:styleId="Footer">
    <w:name w:val="footer"/>
    <w:basedOn w:val="Normal"/>
    <w:rsid w:val="003F6D54"/>
    <w:pPr>
      <w:tabs>
        <w:tab w:val="clear" w:pos="397"/>
        <w:tab w:val="clear" w:pos="794"/>
        <w:tab w:val="clear" w:pos="1191"/>
        <w:tab w:val="right" w:pos="9072"/>
      </w:tabs>
      <w:spacing w:after="0" w:line="180" w:lineRule="exact"/>
    </w:pPr>
    <w:rPr>
      <w:color w:val="948671"/>
      <w:sz w:val="15"/>
    </w:rPr>
  </w:style>
  <w:style w:type="table" w:styleId="TableGrid">
    <w:name w:val="Table Grid"/>
    <w:aliases w:val="AEMO"/>
    <w:basedOn w:val="TableNormal"/>
    <w:rsid w:val="00510DB6"/>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rPr>
        <w:rFonts w:ascii="Arial" w:hAnsi="Arial"/>
        <w:color w:val="002060"/>
        <w:sz w:val="18"/>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rFonts w:ascii="Arial" w:hAnsi="Arial"/>
        <w:color w:val="002060"/>
        <w:sz w:val="18"/>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paragraph" w:customStyle="1" w:styleId="Bold">
    <w:name w:val="Bold"/>
    <w:basedOn w:val="Normal"/>
    <w:rsid w:val="00307D90"/>
    <w:pPr>
      <w:spacing w:before="120"/>
    </w:pPr>
    <w:rPr>
      <w:b/>
    </w:rPr>
  </w:style>
  <w:style w:type="paragraph" w:customStyle="1" w:styleId="TableHeaderText">
    <w:name w:val="Table Header Text"/>
    <w:basedOn w:val="Normal"/>
    <w:rsid w:val="00307D90"/>
    <w:pPr>
      <w:tabs>
        <w:tab w:val="clear" w:pos="397"/>
        <w:tab w:val="clear" w:pos="794"/>
        <w:tab w:val="clear" w:pos="1191"/>
      </w:tabs>
      <w:spacing w:after="0" w:line="240" w:lineRule="exact"/>
    </w:pPr>
    <w:rPr>
      <w:caps/>
      <w:color w:val="FFFFFF"/>
      <w:sz w:val="18"/>
      <w:lang w:eastAsia="en-US"/>
    </w:rPr>
  </w:style>
  <w:style w:type="paragraph" w:customStyle="1" w:styleId="TableText">
    <w:name w:val="Table Text"/>
    <w:basedOn w:val="Normal"/>
    <w:rsid w:val="00307D90"/>
    <w:pPr>
      <w:tabs>
        <w:tab w:val="clear" w:pos="397"/>
        <w:tab w:val="clear" w:pos="794"/>
        <w:tab w:val="clear" w:pos="1191"/>
      </w:tabs>
      <w:spacing w:after="0" w:line="240" w:lineRule="exact"/>
    </w:pPr>
    <w:rPr>
      <w:color w:val="1E4164"/>
      <w:sz w:val="18"/>
      <w:lang w:eastAsia="en-US"/>
    </w:rPr>
  </w:style>
  <w:style w:type="paragraph" w:customStyle="1" w:styleId="Graphic1">
    <w:name w:val="Graphic1"/>
    <w:basedOn w:val="Normal"/>
    <w:next w:val="Normal"/>
    <w:qFormat/>
    <w:rsid w:val="00307D90"/>
    <w:pPr>
      <w:tabs>
        <w:tab w:val="clear" w:pos="397"/>
        <w:tab w:val="clear" w:pos="794"/>
        <w:tab w:val="clear" w:pos="1191"/>
      </w:tabs>
      <w:spacing w:after="200" w:line="240" w:lineRule="atLeast"/>
    </w:pPr>
    <w:rPr>
      <w:color w:val="A9C399"/>
      <w:lang w:eastAsia="en-US"/>
    </w:rPr>
  </w:style>
  <w:style w:type="paragraph" w:customStyle="1" w:styleId="NOCIndentedBullet">
    <w:name w:val="NOC Indented Bullet"/>
    <w:basedOn w:val="NOCIndentedBodyText"/>
    <w:next w:val="NOCIndentedBodyText"/>
    <w:rsid w:val="00F410CF"/>
    <w:pPr>
      <w:numPr>
        <w:numId w:val="26"/>
      </w:numPr>
    </w:pPr>
  </w:style>
  <w:style w:type="paragraph" w:styleId="BodyText">
    <w:name w:val="Body Text"/>
    <w:link w:val="BodyTextChar"/>
    <w:qFormat/>
    <w:rsid w:val="00D836C4"/>
    <w:pPr>
      <w:spacing w:before="100" w:after="100" w:line="260" w:lineRule="atLeast"/>
    </w:pPr>
    <w:rPr>
      <w:rFonts w:ascii="Arial" w:eastAsia="Calibri" w:hAnsi="Arial"/>
      <w:sz w:val="22"/>
      <w:lang w:eastAsia="en-US"/>
    </w:rPr>
  </w:style>
  <w:style w:type="character" w:customStyle="1" w:styleId="BodyTextChar">
    <w:name w:val="Body Text Char"/>
    <w:basedOn w:val="DefaultParagraphFont"/>
    <w:link w:val="BodyText"/>
    <w:rsid w:val="00D836C4"/>
    <w:rPr>
      <w:rFonts w:ascii="Arial" w:eastAsia="Calibri" w:hAnsi="Arial"/>
      <w:sz w:val="22"/>
      <w:lang w:eastAsia="en-US"/>
    </w:rPr>
  </w:style>
  <w:style w:type="paragraph" w:customStyle="1" w:styleId="NOCfollowon">
    <w:name w:val="NOC follow on"/>
    <w:basedOn w:val="NOCIndentedBodyText"/>
    <w:next w:val="NOCIndentedBodyText"/>
    <w:rsid w:val="00F410CF"/>
  </w:style>
  <w:style w:type="paragraph" w:customStyle="1" w:styleId="NOCIndentedNumber">
    <w:name w:val="NOC Indented Number"/>
    <w:basedOn w:val="NOCIndentedBodyText"/>
    <w:rsid w:val="00F410CF"/>
    <w:pPr>
      <w:numPr>
        <w:numId w:val="27"/>
      </w:numPr>
    </w:pPr>
  </w:style>
  <w:style w:type="paragraph" w:customStyle="1" w:styleId="NOCBodyText">
    <w:name w:val="NOC Body Text"/>
    <w:basedOn w:val="BodyText"/>
    <w:rsid w:val="00F410CF"/>
  </w:style>
  <w:style w:type="paragraph" w:customStyle="1" w:styleId="NOCHeading">
    <w:name w:val="NOC Heading"/>
    <w:basedOn w:val="NOCBodyText"/>
    <w:rsid w:val="00F410CF"/>
    <w:pPr>
      <w:keepNext/>
      <w:numPr>
        <w:numId w:val="25"/>
      </w:numPr>
      <w:spacing w:before="240"/>
    </w:pPr>
    <w:rPr>
      <w:rFonts w:cs="Arial"/>
      <w:b/>
      <w:bCs/>
    </w:rPr>
  </w:style>
  <w:style w:type="paragraph" w:customStyle="1" w:styleId="NOCIndentedBodyText">
    <w:name w:val="NOC Indented Body Text"/>
    <w:basedOn w:val="NOCBodyText"/>
    <w:link w:val="NOCIndentedBodyTextChar"/>
    <w:rsid w:val="00F410CF"/>
    <w:pPr>
      <w:ind w:left="567"/>
    </w:pPr>
  </w:style>
  <w:style w:type="paragraph" w:customStyle="1" w:styleId="NOCCodeExtract">
    <w:name w:val="NOC Code Extract"/>
    <w:basedOn w:val="NOCIndentedBodyText"/>
    <w:next w:val="NOCIndentedBodyText"/>
    <w:rsid w:val="00F410CF"/>
    <w:pPr>
      <w:ind w:left="1134"/>
    </w:pPr>
    <w:rPr>
      <w:i/>
      <w:iCs/>
    </w:rPr>
  </w:style>
  <w:style w:type="character" w:customStyle="1" w:styleId="Guidelines">
    <w:name w:val="Guidelines"/>
    <w:rsid w:val="00F410CF"/>
    <w:rPr>
      <w:i/>
    </w:rPr>
  </w:style>
  <w:style w:type="paragraph" w:customStyle="1" w:styleId="NOCFooter">
    <w:name w:val="NOC Footer"/>
    <w:basedOn w:val="NOCBodyText"/>
    <w:rsid w:val="00F410CF"/>
    <w:pPr>
      <w:tabs>
        <w:tab w:val="right" w:pos="9072"/>
      </w:tabs>
      <w:spacing w:after="0" w:line="240" w:lineRule="auto"/>
    </w:pPr>
    <w:rPr>
      <w:sz w:val="16"/>
    </w:rPr>
  </w:style>
  <w:style w:type="character" w:styleId="PageNumber">
    <w:name w:val="page number"/>
    <w:rsid w:val="00F410CF"/>
    <w:rPr>
      <w:sz w:val="16"/>
    </w:rPr>
  </w:style>
  <w:style w:type="character" w:styleId="Strong">
    <w:name w:val="Strong"/>
    <w:basedOn w:val="DefaultParagraphFont"/>
    <w:qFormat/>
    <w:rsid w:val="00491E51"/>
    <w:rPr>
      <w:b/>
      <w:bCs/>
    </w:rPr>
  </w:style>
  <w:style w:type="paragraph" w:styleId="ListBullet2">
    <w:name w:val="List Bullet 2"/>
    <w:basedOn w:val="Normal"/>
    <w:rsid w:val="00546945"/>
    <w:pPr>
      <w:numPr>
        <w:numId w:val="3"/>
      </w:numPr>
      <w:contextualSpacing/>
    </w:pPr>
  </w:style>
  <w:style w:type="paragraph" w:styleId="ListParagraph">
    <w:name w:val="List Paragraph"/>
    <w:basedOn w:val="Normal"/>
    <w:uiPriority w:val="34"/>
    <w:qFormat/>
    <w:rsid w:val="000711DD"/>
    <w:pPr>
      <w:ind w:left="720"/>
      <w:contextualSpacing/>
    </w:pPr>
  </w:style>
  <w:style w:type="character" w:styleId="CommentReference">
    <w:name w:val="annotation reference"/>
    <w:basedOn w:val="DefaultParagraphFont"/>
    <w:rsid w:val="00837280"/>
    <w:rPr>
      <w:sz w:val="16"/>
      <w:szCs w:val="16"/>
    </w:rPr>
  </w:style>
  <w:style w:type="paragraph" w:styleId="CommentText">
    <w:name w:val="annotation text"/>
    <w:basedOn w:val="Normal"/>
    <w:link w:val="CommentTextChar"/>
    <w:rsid w:val="00837280"/>
    <w:pPr>
      <w:spacing w:line="240" w:lineRule="auto"/>
    </w:pPr>
    <w:rPr>
      <w:sz w:val="20"/>
    </w:rPr>
  </w:style>
  <w:style w:type="character" w:customStyle="1" w:styleId="CommentTextChar">
    <w:name w:val="Comment Text Char"/>
    <w:basedOn w:val="DefaultParagraphFont"/>
    <w:link w:val="CommentText"/>
    <w:rsid w:val="00837280"/>
    <w:rPr>
      <w:rFonts w:ascii="Arial" w:hAnsi="Arial"/>
    </w:rPr>
  </w:style>
  <w:style w:type="paragraph" w:styleId="CommentSubject">
    <w:name w:val="annotation subject"/>
    <w:basedOn w:val="CommentText"/>
    <w:next w:val="CommentText"/>
    <w:link w:val="CommentSubjectChar"/>
    <w:rsid w:val="00837280"/>
    <w:rPr>
      <w:b/>
      <w:bCs/>
    </w:rPr>
  </w:style>
  <w:style w:type="character" w:customStyle="1" w:styleId="CommentSubjectChar">
    <w:name w:val="Comment Subject Char"/>
    <w:basedOn w:val="CommentTextChar"/>
    <w:link w:val="CommentSubject"/>
    <w:rsid w:val="00837280"/>
    <w:rPr>
      <w:rFonts w:ascii="Arial" w:hAnsi="Arial"/>
      <w:b/>
      <w:bCs/>
    </w:rPr>
  </w:style>
  <w:style w:type="paragraph" w:styleId="BalloonText">
    <w:name w:val="Balloon Text"/>
    <w:basedOn w:val="Normal"/>
    <w:link w:val="BalloonTextChar"/>
    <w:rsid w:val="0083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7280"/>
    <w:rPr>
      <w:rFonts w:ascii="Tahoma" w:hAnsi="Tahoma" w:cs="Tahoma"/>
      <w:sz w:val="16"/>
      <w:szCs w:val="16"/>
    </w:rPr>
  </w:style>
  <w:style w:type="character" w:styleId="Hyperlink">
    <w:name w:val="Hyperlink"/>
    <w:basedOn w:val="DefaultParagraphFont"/>
    <w:uiPriority w:val="99"/>
    <w:rsid w:val="00745A44"/>
    <w:rPr>
      <w:color w:val="0000FF" w:themeColor="hyperlink"/>
      <w:u w:val="none"/>
    </w:rPr>
  </w:style>
  <w:style w:type="character" w:styleId="FollowedHyperlink">
    <w:name w:val="FollowedHyperlink"/>
    <w:basedOn w:val="DefaultParagraphFont"/>
    <w:rsid w:val="00D3082F"/>
    <w:rPr>
      <w:color w:val="800080" w:themeColor="followedHyperlink"/>
      <w:u w:val="single"/>
    </w:rPr>
  </w:style>
  <w:style w:type="character" w:customStyle="1" w:styleId="NOCIndentedBodyTextChar">
    <w:name w:val="NOC Indented Body Text Char"/>
    <w:basedOn w:val="DefaultParagraphFont"/>
    <w:link w:val="NOCIndentedBodyText"/>
    <w:locked/>
    <w:rsid w:val="0078658D"/>
    <w:rPr>
      <w:rFonts w:ascii="Arial" w:hAnsi="Arial"/>
      <w:sz w:val="22"/>
      <w:lang w:eastAsia="en-US"/>
    </w:rPr>
  </w:style>
  <w:style w:type="paragraph" w:customStyle="1" w:styleId="Default">
    <w:name w:val="Default"/>
    <w:rsid w:val="00454EC3"/>
    <w:pPr>
      <w:autoSpaceDE w:val="0"/>
      <w:autoSpaceDN w:val="0"/>
      <w:adjustRightInd w:val="0"/>
    </w:pPr>
    <w:rPr>
      <w:color w:val="000000"/>
      <w:sz w:val="24"/>
      <w:szCs w:val="24"/>
    </w:rPr>
  </w:style>
  <w:style w:type="paragraph" w:styleId="Revision">
    <w:name w:val="Revision"/>
    <w:hidden/>
    <w:uiPriority w:val="99"/>
    <w:semiHidden/>
    <w:rsid w:val="00263B25"/>
    <w:rPr>
      <w:rFonts w:ascii="Arial" w:hAnsi="Arial"/>
      <w:sz w:val="22"/>
    </w:rPr>
  </w:style>
  <w:style w:type="paragraph" w:styleId="Title">
    <w:name w:val="Title"/>
    <w:basedOn w:val="Normal"/>
    <w:next w:val="Normal"/>
    <w:link w:val="TitleChar"/>
    <w:uiPriority w:val="10"/>
    <w:qFormat/>
    <w:rsid w:val="005C437C"/>
    <w:pPr>
      <w:tabs>
        <w:tab w:val="clear" w:pos="397"/>
        <w:tab w:val="clear" w:pos="794"/>
        <w:tab w:val="clear" w:pos="1191"/>
      </w:tabs>
      <w:spacing w:before="1920" w:after="480" w:line="240" w:lineRule="auto"/>
    </w:pPr>
    <w:rPr>
      <w:caps/>
      <w:color w:val="F79646" w:themeColor="accent6"/>
      <w:sz w:val="48"/>
      <w:lang w:eastAsia="en-US"/>
    </w:rPr>
  </w:style>
  <w:style w:type="character" w:customStyle="1" w:styleId="TitleChar">
    <w:name w:val="Title Char"/>
    <w:basedOn w:val="DefaultParagraphFont"/>
    <w:link w:val="Title"/>
    <w:uiPriority w:val="10"/>
    <w:rsid w:val="005C437C"/>
    <w:rPr>
      <w:rFonts w:ascii="Arial" w:hAnsi="Arial"/>
      <w:caps/>
      <w:color w:val="F79646" w:themeColor="accent6"/>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wcf_correspondence@aemo.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Notice%20of%20First%20Stage%20Consultation%20template%20for%20NER%20consultations%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a14523ce-dede-483e-883a-2d83261080bd">MARKETS-35-389</_dlc_DocId>
    <_dlc_DocIdUrl xmlns="a14523ce-dede-483e-883a-2d83261080bd">
      <Url>http://sharedocs/sites/markets/me/_layouts/15/DocIdRedir.aspx?ID=MARKETS-35-389</Url>
      <Description>MARKETS-35-389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0B1B-4CE8-4807-853E-105F5B0D0D7E}">
  <ds:schemaRefs>
    <ds:schemaRef ds:uri="http://schemas.microsoft.com/sharepoint/v3/contenttype/forms"/>
  </ds:schemaRefs>
</ds:datastoreItem>
</file>

<file path=customXml/itemProps2.xml><?xml version="1.0" encoding="utf-8"?>
<ds:datastoreItem xmlns:ds="http://schemas.openxmlformats.org/officeDocument/2006/customXml" ds:itemID="{EB8F9B1D-7B04-49FF-8FA2-AC584F84A0FB}">
  <ds:schemaRefs>
    <ds:schemaRef ds:uri="http://schemas.microsoft.com/office/2006/metadata/longProperties"/>
  </ds:schemaRefs>
</ds:datastoreItem>
</file>

<file path=customXml/itemProps3.xml><?xml version="1.0" encoding="utf-8"?>
<ds:datastoreItem xmlns:ds="http://schemas.openxmlformats.org/officeDocument/2006/customXml" ds:itemID="{FAB04958-36D8-416B-8841-9F6E40CF2F75}">
  <ds:schemaRefs>
    <ds:schemaRef ds:uri="http://schemas.microsoft.com/sharepoint/events"/>
  </ds:schemaRefs>
</ds:datastoreItem>
</file>

<file path=customXml/itemProps4.xml><?xml version="1.0" encoding="utf-8"?>
<ds:datastoreItem xmlns:ds="http://schemas.openxmlformats.org/officeDocument/2006/customXml" ds:itemID="{4E15B434-0A9F-4032-980C-5773CAD29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52F02-32FA-4851-8BDC-8516B1C00CBE}">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825B62A-A12D-4CF5-B84D-711759BB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First Stage Consultation template for NER consultations - 2016</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First Stage Consultation</vt:lpstr>
    </vt:vector>
  </TitlesOfParts>
  <Company>AEMO</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First Stage Consultation</dc:title>
  <dc:subject>SRAS Documents</dc:subject>
  <dc:creator>Roger Shaw</dc:creator>
  <cp:lastModifiedBy>Felicity Bodger</cp:lastModifiedBy>
  <cp:revision>2</cp:revision>
  <cp:lastPrinted>2011-07-14T23:07:00Z</cp:lastPrinted>
  <dcterms:created xsi:type="dcterms:W3CDTF">2017-12-08T01:44:00Z</dcterms:created>
  <dcterms:modified xsi:type="dcterms:W3CDTF">2017-12-08T01:44:00Z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Id">
    <vt:lpwstr>0x010100C14AF564246B364E9780885EA9FBD830</vt:lpwstr>
  </property>
  <property fmtid="{D5CDD505-2E9C-101B-9397-08002B2CF9AE}" pid="4" name="_dlc_DocIdItemGuid">
    <vt:lpwstr>4b30c741-4bfb-4cec-a80d-acbd572dbab7</vt:lpwstr>
  </property>
  <property fmtid="{D5CDD505-2E9C-101B-9397-08002B2CF9AE}" pid="5" name="AEMODescription">
    <vt:lpwstr/>
  </property>
  <property fmtid="{D5CDD505-2E9C-101B-9397-08002B2CF9AE}" pid="6" name="eDocsHistory">
    <vt:lpwstr/>
  </property>
  <property fmtid="{D5CDD505-2E9C-101B-9397-08002B2CF9AE}" pid="7" name="eDocsCategory1">
    <vt:lpwstr/>
  </property>
  <property fmtid="{D5CDD505-2E9C-101B-9397-08002B2CF9AE}" pid="8" name="eDocsFolderNumber">
    <vt:lpwstr/>
  </property>
  <property fmtid="{D5CDD505-2E9C-101B-9397-08002B2CF9AE}" pid="9" name="xd_ProgID">
    <vt:lpwstr/>
  </property>
  <property fmtid="{D5CDD505-2E9C-101B-9397-08002B2CF9AE}" pid="10" name="eDocsEmailDate">
    <vt:lpwstr/>
  </property>
  <property fmtid="{D5CDD505-2E9C-101B-9397-08002B2CF9AE}" pid="11" name="_CopySource">
    <vt:lpwstr>http://sharedocs/sites/sopp/SOPPDocs/Ancilliary Services/SRAS/Consultations/1st Stage Notice/SRAS - 1st Stage Notice - 18 Jul 2011.docx</vt:lpwstr>
  </property>
  <property fmtid="{D5CDD505-2E9C-101B-9397-08002B2CF9AE}" pid="12" name="AEMODocumentTypeTaxHTField0">
    <vt:lpwstr/>
  </property>
  <property fmtid="{D5CDD505-2E9C-101B-9397-08002B2CF9AE}" pid="13" name="AEMOKeywordsTaxHTField0">
    <vt:lpwstr/>
  </property>
  <property fmtid="{D5CDD505-2E9C-101B-9397-08002B2CF9AE}" pid="14" name="eDocsVersionNumber">
    <vt:lpwstr/>
  </property>
  <property fmtid="{D5CDD505-2E9C-101B-9397-08002B2CF9AE}" pid="15" name="eDocsCategory3">
    <vt:lpwstr/>
  </property>
  <property fmtid="{D5CDD505-2E9C-101B-9397-08002B2CF9AE}" pid="16" name="TaxCatchAll">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AEMOKeywords">
    <vt:lpwstr>47;#National Electricity Rules|96f2c7da-d53c-41c4-a176-d02b7487d813;#32;#Consultation|7aea6583-16db-41ec-9430-a7cc84b52572</vt:lpwstr>
  </property>
  <property fmtid="{D5CDD505-2E9C-101B-9397-08002B2CF9AE}" pid="26" name="AEMODocumentType">
    <vt:lpwstr>49;#Publication|8ae4cf81-fd7c-4b5d-880f-3ad9d29fca1a</vt:lpwstr>
  </property>
  <property fmtid="{D5CDD505-2E9C-101B-9397-08002B2CF9AE}" pid="27" name="AEMOKeywords0">
    <vt:lpwstr>47;#National Electricity Rules|96f2c7da-d53c-41c4-a176-d02b7487d813;#32;#Consultation|7aea6583-16db-41ec-9430-a7cc84b52572</vt:lpwstr>
  </property>
</Properties>
</file>