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48" w:rsidRDefault="00F90F48" w:rsidP="00F90F48">
      <w:pPr>
        <w:rPr>
          <w:b/>
          <w:sz w:val="20"/>
          <w:szCs w:val="20"/>
        </w:rPr>
      </w:pPr>
      <w:r>
        <w:rPr>
          <w:b/>
          <w:sz w:val="20"/>
          <w:szCs w:val="20"/>
        </w:rPr>
        <w:t>AEMO’s review of MTPASA – a summary</w:t>
      </w:r>
    </w:p>
    <w:p w:rsidR="00B71CE4" w:rsidRDefault="00663472" w:rsidP="00B71CE4">
      <w:pPr>
        <w:spacing w:after="0" w:line="240" w:lineRule="auto"/>
        <w:rPr>
          <w:sz w:val="20"/>
          <w:szCs w:val="20"/>
        </w:rPr>
      </w:pPr>
      <w:r w:rsidRPr="00B71CE4">
        <w:rPr>
          <w:sz w:val="20"/>
          <w:szCs w:val="20"/>
        </w:rPr>
        <w:t>AEMO is redeveloping its</w:t>
      </w:r>
      <w:r w:rsidR="00FE6D17" w:rsidRPr="00FE6D17">
        <w:rPr>
          <w:sz w:val="20"/>
          <w:szCs w:val="20"/>
        </w:rPr>
        <w:t xml:space="preserve"> </w:t>
      </w:r>
      <w:r w:rsidR="00FE6D17" w:rsidRPr="00D678E1">
        <w:rPr>
          <w:sz w:val="20"/>
          <w:szCs w:val="20"/>
        </w:rPr>
        <w:t>Medium Term Projected As</w:t>
      </w:r>
      <w:r w:rsidR="00FE6D17">
        <w:rPr>
          <w:sz w:val="20"/>
          <w:szCs w:val="20"/>
        </w:rPr>
        <w:t>sessment of System Adequacy (</w:t>
      </w:r>
      <w:r w:rsidRPr="00B71CE4">
        <w:rPr>
          <w:sz w:val="20"/>
          <w:szCs w:val="20"/>
        </w:rPr>
        <w:t>MTPASA</w:t>
      </w:r>
      <w:r w:rsidR="00FE6D17">
        <w:rPr>
          <w:sz w:val="20"/>
          <w:szCs w:val="20"/>
        </w:rPr>
        <w:t>)</w:t>
      </w:r>
      <w:r w:rsidRPr="00B71CE4">
        <w:rPr>
          <w:sz w:val="20"/>
          <w:szCs w:val="20"/>
        </w:rPr>
        <w:t xml:space="preserve"> methodology to make sure it is fit for purpose in future, recognising that the NEM is evolving.</w:t>
      </w:r>
      <w:r w:rsidR="00B71CE4" w:rsidRPr="00B71CE4">
        <w:rPr>
          <w:sz w:val="20"/>
          <w:szCs w:val="20"/>
        </w:rPr>
        <w:t xml:space="preserve"> Specifically, AEMO is focusing on how MTPASA is used to report potenti</w:t>
      </w:r>
      <w:r w:rsidR="00B71CE4">
        <w:rPr>
          <w:sz w:val="20"/>
          <w:szCs w:val="20"/>
        </w:rPr>
        <w:t>al reliability standard breaches.</w:t>
      </w:r>
    </w:p>
    <w:p w:rsidR="00104B40" w:rsidRDefault="00104B40" w:rsidP="00B71CE4">
      <w:pPr>
        <w:spacing w:after="0" w:line="240" w:lineRule="auto"/>
        <w:rPr>
          <w:sz w:val="20"/>
          <w:szCs w:val="20"/>
        </w:rPr>
      </w:pPr>
    </w:p>
    <w:p w:rsidR="00F90F48" w:rsidRDefault="00663472" w:rsidP="00B71C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F90F48">
        <w:rPr>
          <w:sz w:val="20"/>
          <w:szCs w:val="20"/>
        </w:rPr>
        <w:t xml:space="preserve">aim of </w:t>
      </w:r>
      <w:r w:rsidR="00086E61">
        <w:rPr>
          <w:sz w:val="20"/>
          <w:szCs w:val="20"/>
        </w:rPr>
        <w:t>the MTPASA redevelopment external workshop held on 30 May 2016 was</w:t>
      </w:r>
      <w:r w:rsidR="0011153C">
        <w:rPr>
          <w:sz w:val="20"/>
          <w:szCs w:val="20"/>
        </w:rPr>
        <w:t xml:space="preserve"> to</w:t>
      </w:r>
      <w:r w:rsidR="00086E61">
        <w:rPr>
          <w:sz w:val="20"/>
          <w:szCs w:val="20"/>
        </w:rPr>
        <w:t>:</w:t>
      </w:r>
    </w:p>
    <w:p w:rsidR="00086E61" w:rsidRDefault="00086E61" w:rsidP="00086E6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 the limitation</w:t>
      </w:r>
      <w:r w:rsidR="00514D9F">
        <w:rPr>
          <w:sz w:val="20"/>
          <w:szCs w:val="20"/>
        </w:rPr>
        <w:t>s</w:t>
      </w:r>
      <w:r>
        <w:rPr>
          <w:sz w:val="20"/>
          <w:szCs w:val="20"/>
        </w:rPr>
        <w:t xml:space="preserve"> of the current MTPASA methodology</w:t>
      </w:r>
      <w:r w:rsidR="00514D9F">
        <w:rPr>
          <w:sz w:val="20"/>
          <w:szCs w:val="20"/>
        </w:rPr>
        <w:t xml:space="preserve"> and;</w:t>
      </w:r>
    </w:p>
    <w:p w:rsidR="00086E61" w:rsidRPr="00514D9F" w:rsidRDefault="00514D9F" w:rsidP="00E20F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14D9F">
        <w:rPr>
          <w:sz w:val="20"/>
          <w:szCs w:val="20"/>
        </w:rPr>
        <w:t xml:space="preserve">seek feedback on </w:t>
      </w:r>
      <w:r w:rsidR="005C6696">
        <w:rPr>
          <w:sz w:val="20"/>
          <w:szCs w:val="20"/>
        </w:rPr>
        <w:t>EY’s</w:t>
      </w:r>
      <w:r w:rsidRPr="00514D9F">
        <w:rPr>
          <w:sz w:val="20"/>
          <w:szCs w:val="20"/>
        </w:rPr>
        <w:t xml:space="preserve"> strategy for developing a </w:t>
      </w:r>
      <w:r w:rsidR="0066112A" w:rsidRPr="00514D9F">
        <w:rPr>
          <w:sz w:val="20"/>
          <w:szCs w:val="20"/>
        </w:rPr>
        <w:t>new methodology</w:t>
      </w:r>
      <w:r w:rsidRPr="00514D9F">
        <w:rPr>
          <w:sz w:val="20"/>
          <w:szCs w:val="20"/>
        </w:rPr>
        <w:t xml:space="preserve"> for MTPASA.</w:t>
      </w:r>
    </w:p>
    <w:p w:rsidR="00FF70CD" w:rsidRDefault="00F90F48" w:rsidP="00F90F48">
      <w:pPr>
        <w:rPr>
          <w:sz w:val="20"/>
          <w:szCs w:val="20"/>
        </w:rPr>
      </w:pPr>
      <w:r>
        <w:rPr>
          <w:sz w:val="20"/>
          <w:szCs w:val="20"/>
        </w:rPr>
        <w:t xml:space="preserve">At </w:t>
      </w:r>
      <w:r w:rsidR="000079E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MTPASA redevelopment external stakeholder workshop, some people indicated </w:t>
      </w:r>
      <w:r w:rsidR="00FF70CD">
        <w:rPr>
          <w:sz w:val="20"/>
          <w:szCs w:val="20"/>
        </w:rPr>
        <w:t>they would</w:t>
      </w:r>
      <w:r>
        <w:rPr>
          <w:sz w:val="20"/>
          <w:szCs w:val="20"/>
        </w:rPr>
        <w:t xml:space="preserve"> like to know more about how MTPASA works and why the review of its underlying modelling is needed. </w:t>
      </w:r>
      <w:r w:rsidR="00FF70CD">
        <w:rPr>
          <w:sz w:val="20"/>
          <w:szCs w:val="20"/>
        </w:rPr>
        <w:t>We have</w:t>
      </w:r>
      <w:r>
        <w:rPr>
          <w:sz w:val="20"/>
          <w:szCs w:val="20"/>
        </w:rPr>
        <w:t xml:space="preserve"> sought to answer your questions here.</w:t>
      </w:r>
    </w:p>
    <w:p w:rsidR="00635ED6" w:rsidRDefault="00635ED6" w:rsidP="00F90F48">
      <w:pPr>
        <w:rPr>
          <w:sz w:val="20"/>
          <w:szCs w:val="20"/>
        </w:rPr>
      </w:pPr>
      <w:r>
        <w:rPr>
          <w:sz w:val="20"/>
          <w:szCs w:val="20"/>
        </w:rPr>
        <w:t>For more information, p</w:t>
      </w:r>
      <w:r w:rsidR="00F90F48">
        <w:rPr>
          <w:sz w:val="20"/>
          <w:szCs w:val="20"/>
        </w:rPr>
        <w:t xml:space="preserve">lease contact </w:t>
      </w:r>
      <w:r>
        <w:rPr>
          <w:sz w:val="20"/>
          <w:szCs w:val="20"/>
        </w:rPr>
        <w:t xml:space="preserve">AEMO Information and Support Hub at </w:t>
      </w:r>
      <w:hyperlink r:id="rId14" w:history="1">
        <w:r w:rsidRPr="00635ED6">
          <w:rPr>
            <w:sz w:val="20"/>
            <w:szCs w:val="20"/>
          </w:rPr>
          <w:t>supporthub@aemo.com.au</w:t>
        </w:r>
      </w:hyperlink>
      <w:r w:rsidR="007F58EF">
        <w:rPr>
          <w:sz w:val="20"/>
          <w:szCs w:val="20"/>
        </w:rPr>
        <w:t>, or call 1300 236 600.</w:t>
      </w:r>
      <w:r>
        <w:rPr>
          <w:sz w:val="20"/>
          <w:szCs w:val="20"/>
        </w:rPr>
        <w:t xml:space="preserve"> </w:t>
      </w:r>
    </w:p>
    <w:p w:rsidR="00F90F48" w:rsidRPr="007F6585" w:rsidRDefault="00F90F48" w:rsidP="00F90F48">
      <w:pPr>
        <w:rPr>
          <w:b/>
          <w:sz w:val="20"/>
          <w:szCs w:val="20"/>
        </w:rPr>
      </w:pPr>
      <w:r w:rsidRPr="007F6585">
        <w:rPr>
          <w:b/>
          <w:sz w:val="20"/>
          <w:szCs w:val="20"/>
        </w:rPr>
        <w:t>What is MTPASA?</w:t>
      </w:r>
    </w:p>
    <w:p w:rsidR="00F90F48" w:rsidRDefault="00236E10" w:rsidP="00F90F4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MT</w:t>
      </w:r>
      <w:r w:rsidR="00FE6D17">
        <w:rPr>
          <w:sz w:val="20"/>
          <w:szCs w:val="20"/>
        </w:rPr>
        <w:t>PASA</w:t>
      </w:r>
      <w:r w:rsidR="00F90F48">
        <w:t xml:space="preserve"> </w:t>
      </w:r>
      <w:r w:rsidR="00F90F48" w:rsidRPr="00E92283">
        <w:rPr>
          <w:sz w:val="20"/>
          <w:szCs w:val="20"/>
        </w:rPr>
        <w:t xml:space="preserve">is </w:t>
      </w:r>
      <w:r w:rsidR="00F90F48">
        <w:rPr>
          <w:sz w:val="20"/>
          <w:szCs w:val="20"/>
        </w:rPr>
        <w:t>one of the main</w:t>
      </w:r>
      <w:r w:rsidR="00F90F48" w:rsidRPr="00E92283">
        <w:rPr>
          <w:sz w:val="20"/>
          <w:szCs w:val="20"/>
        </w:rPr>
        <w:t xml:space="preserve"> tool</w:t>
      </w:r>
      <w:r w:rsidR="00F90F48">
        <w:rPr>
          <w:sz w:val="20"/>
          <w:szCs w:val="20"/>
        </w:rPr>
        <w:t>s</w:t>
      </w:r>
      <w:r w:rsidR="00F90F48" w:rsidRPr="00E92283">
        <w:rPr>
          <w:sz w:val="20"/>
          <w:szCs w:val="20"/>
        </w:rPr>
        <w:t xml:space="preserve"> </w:t>
      </w:r>
      <w:r w:rsidR="00F90F48">
        <w:rPr>
          <w:sz w:val="20"/>
          <w:szCs w:val="20"/>
        </w:rPr>
        <w:t>AEMO uses</w:t>
      </w:r>
      <w:r w:rsidR="00F90F48" w:rsidRPr="00E92283">
        <w:rPr>
          <w:sz w:val="20"/>
          <w:szCs w:val="20"/>
        </w:rPr>
        <w:t xml:space="preserve"> to assess expected electricity supply and demand in the next two years. </w:t>
      </w:r>
      <w:r w:rsidR="00C76C54">
        <w:rPr>
          <w:sz w:val="20"/>
          <w:szCs w:val="20"/>
        </w:rPr>
        <w:t xml:space="preserve">Based on the </w:t>
      </w:r>
      <w:r w:rsidR="002A2F59">
        <w:rPr>
          <w:sz w:val="20"/>
          <w:szCs w:val="20"/>
        </w:rPr>
        <w:t xml:space="preserve">plant </w:t>
      </w:r>
      <w:r w:rsidR="00C76C54">
        <w:rPr>
          <w:sz w:val="20"/>
          <w:szCs w:val="20"/>
        </w:rPr>
        <w:t>availability submitted by the registered participants, e</w:t>
      </w:r>
      <w:r w:rsidR="00F90F48">
        <w:rPr>
          <w:sz w:val="20"/>
          <w:szCs w:val="20"/>
        </w:rPr>
        <w:t>very three hours,</w:t>
      </w:r>
      <w:r w:rsidR="00F90F48" w:rsidRPr="00E92283">
        <w:rPr>
          <w:sz w:val="20"/>
          <w:szCs w:val="20"/>
        </w:rPr>
        <w:t xml:space="preserve"> </w:t>
      </w:r>
      <w:r w:rsidR="00F90F48">
        <w:rPr>
          <w:sz w:val="20"/>
          <w:szCs w:val="20"/>
        </w:rPr>
        <w:t xml:space="preserve">AEMO </w:t>
      </w:r>
      <w:r w:rsidR="00F90F48" w:rsidRPr="00E92283">
        <w:rPr>
          <w:sz w:val="20"/>
          <w:szCs w:val="20"/>
        </w:rPr>
        <w:t>publishe</w:t>
      </w:r>
      <w:r w:rsidR="00F90F48">
        <w:rPr>
          <w:sz w:val="20"/>
          <w:szCs w:val="20"/>
        </w:rPr>
        <w:t>s</w:t>
      </w:r>
      <w:r>
        <w:rPr>
          <w:sz w:val="20"/>
          <w:szCs w:val="20"/>
        </w:rPr>
        <w:t xml:space="preserve"> MT</w:t>
      </w:r>
      <w:r w:rsidR="00F90F48" w:rsidRPr="00E92283">
        <w:rPr>
          <w:sz w:val="20"/>
          <w:szCs w:val="20"/>
        </w:rPr>
        <w:t xml:space="preserve">PASA </w:t>
      </w:r>
      <w:r w:rsidR="00F90F48">
        <w:rPr>
          <w:sz w:val="20"/>
          <w:szCs w:val="20"/>
        </w:rPr>
        <w:t xml:space="preserve">input </w:t>
      </w:r>
      <w:r w:rsidR="00F90F48" w:rsidRPr="00E92283">
        <w:rPr>
          <w:sz w:val="20"/>
          <w:szCs w:val="20"/>
        </w:rPr>
        <w:t>information includ</w:t>
      </w:r>
      <w:r w:rsidR="00F90F48">
        <w:rPr>
          <w:sz w:val="20"/>
          <w:szCs w:val="20"/>
        </w:rPr>
        <w:t>ing</w:t>
      </w:r>
      <w:r w:rsidR="00F90F48" w:rsidRPr="00E92283">
        <w:rPr>
          <w:sz w:val="20"/>
          <w:szCs w:val="20"/>
        </w:rPr>
        <w:t xml:space="preserve"> demand forecasts</w:t>
      </w:r>
      <w:r w:rsidR="00F90F48">
        <w:rPr>
          <w:sz w:val="20"/>
          <w:szCs w:val="20"/>
        </w:rPr>
        <w:t>, network capacities</w:t>
      </w:r>
      <w:r w:rsidR="00F90F48" w:rsidRPr="00E92283">
        <w:rPr>
          <w:sz w:val="20"/>
          <w:szCs w:val="20"/>
        </w:rPr>
        <w:t xml:space="preserve"> and aggregate generating unit availabilities</w:t>
      </w:r>
      <w:r w:rsidR="00F90F48">
        <w:rPr>
          <w:sz w:val="20"/>
          <w:szCs w:val="20"/>
        </w:rPr>
        <w:t xml:space="preserve">. </w:t>
      </w:r>
      <w:r>
        <w:rPr>
          <w:sz w:val="20"/>
          <w:szCs w:val="20"/>
        </w:rPr>
        <w:t>These MT</w:t>
      </w:r>
      <w:r w:rsidR="002A2F59">
        <w:rPr>
          <w:sz w:val="20"/>
          <w:szCs w:val="20"/>
        </w:rPr>
        <w:t>PASA inputs</w:t>
      </w:r>
      <w:r w:rsidR="00ED720F">
        <w:rPr>
          <w:sz w:val="20"/>
          <w:szCs w:val="20"/>
        </w:rPr>
        <w:t xml:space="preserve"> are</w:t>
      </w:r>
      <w:r w:rsidR="00F90F48" w:rsidRPr="00E92283">
        <w:rPr>
          <w:sz w:val="20"/>
          <w:szCs w:val="20"/>
        </w:rPr>
        <w:t xml:space="preserve"> used by market participants</w:t>
      </w:r>
      <w:r w:rsidR="00F90F48">
        <w:rPr>
          <w:sz w:val="20"/>
          <w:szCs w:val="20"/>
        </w:rPr>
        <w:t xml:space="preserve"> and networks</w:t>
      </w:r>
      <w:r w:rsidR="00F90F48" w:rsidRPr="00E92283">
        <w:rPr>
          <w:sz w:val="20"/>
          <w:szCs w:val="20"/>
        </w:rPr>
        <w:t xml:space="preserve"> to schedule</w:t>
      </w:r>
      <w:r w:rsidR="00F90F48">
        <w:rPr>
          <w:sz w:val="20"/>
          <w:szCs w:val="20"/>
        </w:rPr>
        <w:t xml:space="preserve"> operations, such as</w:t>
      </w:r>
      <w:r>
        <w:rPr>
          <w:sz w:val="20"/>
          <w:szCs w:val="20"/>
        </w:rPr>
        <w:t xml:space="preserve"> planned outages. Through MT</w:t>
      </w:r>
      <w:r w:rsidR="00F90F48" w:rsidRPr="00E92283">
        <w:rPr>
          <w:sz w:val="20"/>
          <w:szCs w:val="20"/>
        </w:rPr>
        <w:t xml:space="preserve">PASA, AEMO is also required to identify and quantify any projected failure to meet the reliability standard. AEMO currently does this </w:t>
      </w:r>
      <w:r w:rsidR="00F90F48">
        <w:rPr>
          <w:sz w:val="20"/>
          <w:szCs w:val="20"/>
        </w:rPr>
        <w:t xml:space="preserve">at least weekly </w:t>
      </w:r>
      <w:r w:rsidR="00F90F48" w:rsidRPr="00E92283">
        <w:rPr>
          <w:sz w:val="20"/>
          <w:szCs w:val="20"/>
        </w:rPr>
        <w:t xml:space="preserve">by reporting any projected </w:t>
      </w:r>
      <w:r w:rsidR="00F90F48">
        <w:rPr>
          <w:sz w:val="20"/>
          <w:szCs w:val="20"/>
        </w:rPr>
        <w:t xml:space="preserve">supply </w:t>
      </w:r>
      <w:r w:rsidR="00F90F48" w:rsidRPr="00E92283">
        <w:rPr>
          <w:sz w:val="20"/>
          <w:szCs w:val="20"/>
        </w:rPr>
        <w:t>reserve shortfalls in each region</w:t>
      </w:r>
      <w:r w:rsidR="00C76C54">
        <w:rPr>
          <w:sz w:val="20"/>
          <w:szCs w:val="20"/>
        </w:rPr>
        <w:t>.</w:t>
      </w:r>
    </w:p>
    <w:p w:rsidR="00F90F48" w:rsidRDefault="00F90F48" w:rsidP="00F90F4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Scope of the MTPASA redevelopment project</w:t>
      </w:r>
    </w:p>
    <w:p w:rsidR="009411C6" w:rsidRDefault="00F90F48" w:rsidP="009411C6">
      <w:pPr>
        <w:rPr>
          <w:sz w:val="20"/>
          <w:szCs w:val="20"/>
        </w:rPr>
      </w:pPr>
      <w:r w:rsidRPr="009411C6">
        <w:rPr>
          <w:sz w:val="20"/>
          <w:szCs w:val="20"/>
        </w:rPr>
        <w:t xml:space="preserve">AEMO </w:t>
      </w:r>
      <w:r w:rsidR="000079EA">
        <w:rPr>
          <w:sz w:val="20"/>
          <w:szCs w:val="20"/>
        </w:rPr>
        <w:t>considers</w:t>
      </w:r>
      <w:r w:rsidRPr="009411C6">
        <w:rPr>
          <w:sz w:val="20"/>
          <w:szCs w:val="20"/>
        </w:rPr>
        <w:t xml:space="preserve"> that the current MTPASA process</w:t>
      </w:r>
      <w:r w:rsidR="009411C6" w:rsidRPr="009411C6">
        <w:rPr>
          <w:sz w:val="20"/>
          <w:szCs w:val="20"/>
        </w:rPr>
        <w:t xml:space="preserve"> </w:t>
      </w:r>
      <w:r w:rsidRPr="009411C6">
        <w:rPr>
          <w:sz w:val="20"/>
          <w:szCs w:val="20"/>
        </w:rPr>
        <w:t xml:space="preserve">has limitations </w:t>
      </w:r>
      <w:r w:rsidR="00352515">
        <w:rPr>
          <w:sz w:val="20"/>
          <w:szCs w:val="20"/>
        </w:rPr>
        <w:t xml:space="preserve">that may potentially hinder accurate assessment of the </w:t>
      </w:r>
      <w:r w:rsidR="00352515" w:rsidRPr="009411C6">
        <w:rPr>
          <w:sz w:val="20"/>
          <w:szCs w:val="20"/>
        </w:rPr>
        <w:t>expected</w:t>
      </w:r>
      <w:r w:rsidRPr="009411C6">
        <w:rPr>
          <w:sz w:val="20"/>
          <w:szCs w:val="20"/>
        </w:rPr>
        <w:t xml:space="preserve"> electricity supply and demand (Power System Adequacy) in the next two years.</w:t>
      </w:r>
      <w:r w:rsidR="009411C6">
        <w:rPr>
          <w:sz w:val="20"/>
          <w:szCs w:val="20"/>
        </w:rPr>
        <w:t xml:space="preserve"> </w:t>
      </w:r>
    </w:p>
    <w:p w:rsidR="00B61600" w:rsidRDefault="009411C6" w:rsidP="009411C6">
      <w:pPr>
        <w:rPr>
          <w:sz w:val="20"/>
          <w:szCs w:val="20"/>
        </w:rPr>
      </w:pPr>
      <w:r>
        <w:rPr>
          <w:sz w:val="20"/>
          <w:szCs w:val="20"/>
        </w:rPr>
        <w:t xml:space="preserve">The scope of the MTPASA redevelopment </w:t>
      </w:r>
      <w:r w:rsidR="00B61600">
        <w:rPr>
          <w:sz w:val="20"/>
          <w:szCs w:val="20"/>
        </w:rPr>
        <w:t>project comprises two stages.</w:t>
      </w:r>
    </w:p>
    <w:p w:rsidR="00B61600" w:rsidRDefault="00B61600" w:rsidP="009411C6">
      <w:pPr>
        <w:rPr>
          <w:sz w:val="20"/>
          <w:szCs w:val="20"/>
        </w:rPr>
      </w:pPr>
      <w:r>
        <w:rPr>
          <w:sz w:val="20"/>
          <w:szCs w:val="20"/>
        </w:rPr>
        <w:t>Stage 1 includes:</w:t>
      </w:r>
    </w:p>
    <w:p w:rsidR="00937E7C" w:rsidRPr="00937E7C" w:rsidRDefault="00937E7C" w:rsidP="00937E7C">
      <w:pPr>
        <w:pStyle w:val="BodyText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37E7C">
        <w:rPr>
          <w:sz w:val="20"/>
          <w:szCs w:val="20"/>
        </w:rPr>
        <w:t>Formally consult internally and externally with stakeholders to understand current methodology limitations, internal and extern</w:t>
      </w:r>
      <w:r w:rsidR="00236E10">
        <w:rPr>
          <w:sz w:val="20"/>
          <w:szCs w:val="20"/>
        </w:rPr>
        <w:t>al systems, and value of the MT</w:t>
      </w:r>
      <w:r w:rsidRPr="00937E7C">
        <w:rPr>
          <w:sz w:val="20"/>
          <w:szCs w:val="20"/>
        </w:rPr>
        <w:t>PASA information.</w:t>
      </w:r>
    </w:p>
    <w:p w:rsidR="00937E7C" w:rsidRDefault="00937E7C" w:rsidP="00937E7C">
      <w:pPr>
        <w:pStyle w:val="BodyText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37E7C">
        <w:rPr>
          <w:sz w:val="20"/>
          <w:szCs w:val="20"/>
        </w:rPr>
        <w:t>Propose alternative methodologies that address the known issues and meet the National Ele</w:t>
      </w:r>
      <w:r w:rsidR="00236E10">
        <w:rPr>
          <w:sz w:val="20"/>
          <w:szCs w:val="20"/>
        </w:rPr>
        <w:t>ctricity Objective (NEO) and MT</w:t>
      </w:r>
      <w:r w:rsidRPr="00937E7C">
        <w:rPr>
          <w:sz w:val="20"/>
          <w:szCs w:val="20"/>
        </w:rPr>
        <w:t>PASA objectives</w:t>
      </w:r>
      <w:r w:rsidR="00753F19">
        <w:rPr>
          <w:rStyle w:val="FootnoteReference"/>
          <w:sz w:val="20"/>
          <w:szCs w:val="20"/>
        </w:rPr>
        <w:footnoteReference w:id="1"/>
      </w:r>
      <w:r w:rsidRPr="00937E7C">
        <w:rPr>
          <w:sz w:val="20"/>
          <w:szCs w:val="20"/>
        </w:rPr>
        <w:t>.</w:t>
      </w:r>
    </w:p>
    <w:p w:rsidR="00B61600" w:rsidRPr="00B61600" w:rsidRDefault="00B61600" w:rsidP="00B61600">
      <w:pPr>
        <w:pStyle w:val="BodyText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B61600">
        <w:rPr>
          <w:sz w:val="20"/>
          <w:szCs w:val="20"/>
        </w:rPr>
        <w:t>Identify potential solutions for implementation taking note of speed of delivery, cost of implementation and maintenance (for both stakeholders and AEMO), accuracy of results, ease of interpretation and automation capability.</w:t>
      </w:r>
    </w:p>
    <w:p w:rsidR="00B61600" w:rsidRPr="00B61600" w:rsidRDefault="00B61600" w:rsidP="00B61600">
      <w:pPr>
        <w:pStyle w:val="BodyText"/>
        <w:spacing w:line="240" w:lineRule="auto"/>
        <w:rPr>
          <w:sz w:val="20"/>
          <w:szCs w:val="20"/>
        </w:rPr>
      </w:pPr>
      <w:r w:rsidRPr="00B61600">
        <w:rPr>
          <w:sz w:val="20"/>
          <w:szCs w:val="20"/>
        </w:rPr>
        <w:t>Stage 2 includes:</w:t>
      </w:r>
    </w:p>
    <w:p w:rsidR="0023045C" w:rsidRPr="0023045C" w:rsidRDefault="00B61600" w:rsidP="0023045C">
      <w:pPr>
        <w:pStyle w:val="BodyText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Consultation and implementation of the </w:t>
      </w:r>
      <w:r w:rsidR="000079EA">
        <w:rPr>
          <w:sz w:val="20"/>
          <w:szCs w:val="20"/>
        </w:rPr>
        <w:t xml:space="preserve">preferred </w:t>
      </w:r>
      <w:r>
        <w:rPr>
          <w:sz w:val="20"/>
          <w:szCs w:val="20"/>
        </w:rPr>
        <w:t>option selected in Stage 1.</w:t>
      </w:r>
    </w:p>
    <w:p w:rsidR="00F90F48" w:rsidRDefault="00F90F48" w:rsidP="00F90F48">
      <w:pPr>
        <w:rPr>
          <w:b/>
          <w:sz w:val="20"/>
          <w:szCs w:val="20"/>
        </w:rPr>
      </w:pPr>
      <w:r w:rsidRPr="00974EE9">
        <w:rPr>
          <w:b/>
          <w:sz w:val="20"/>
          <w:szCs w:val="20"/>
        </w:rPr>
        <w:t xml:space="preserve">Why it is critical </w:t>
      </w:r>
      <w:r>
        <w:rPr>
          <w:b/>
          <w:sz w:val="20"/>
          <w:szCs w:val="20"/>
        </w:rPr>
        <w:t xml:space="preserve">for AEMO </w:t>
      </w:r>
      <w:r w:rsidRPr="00974EE9">
        <w:rPr>
          <w:b/>
          <w:sz w:val="20"/>
          <w:szCs w:val="20"/>
        </w:rPr>
        <w:t>to review MTPASA?</w:t>
      </w:r>
    </w:p>
    <w:p w:rsidR="00F90F48" w:rsidRPr="00236E10" w:rsidRDefault="000079EA" w:rsidP="00B61ED6">
      <w:pPr>
        <w:pStyle w:val="BodyText"/>
        <w:numPr>
          <w:ilvl w:val="0"/>
          <w:numId w:val="6"/>
        </w:num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The current </w:t>
      </w:r>
      <w:r w:rsidR="00236E10" w:rsidRPr="00236E10">
        <w:rPr>
          <w:sz w:val="20"/>
          <w:szCs w:val="20"/>
        </w:rPr>
        <w:t xml:space="preserve">MTPASA </w:t>
      </w:r>
      <w:r>
        <w:rPr>
          <w:sz w:val="20"/>
          <w:szCs w:val="20"/>
        </w:rPr>
        <w:t>methodology was designed</w:t>
      </w:r>
      <w:r w:rsidR="00236E10" w:rsidRPr="00236E10">
        <w:rPr>
          <w:sz w:val="20"/>
          <w:szCs w:val="20"/>
        </w:rPr>
        <w:t xml:space="preserve"> when there was negligible intermittent generation in the National Electricity Network </w:t>
      </w:r>
      <w:r w:rsidR="006F5D75">
        <w:rPr>
          <w:sz w:val="20"/>
          <w:szCs w:val="20"/>
        </w:rPr>
        <w:t xml:space="preserve">(NEM) </w:t>
      </w:r>
      <w:r w:rsidR="00236E10" w:rsidRPr="00236E10">
        <w:rPr>
          <w:sz w:val="20"/>
          <w:szCs w:val="20"/>
        </w:rPr>
        <w:t xml:space="preserve">and wind and solar generation injections were small. </w:t>
      </w:r>
      <w:r w:rsidR="006F5D75">
        <w:rPr>
          <w:sz w:val="20"/>
          <w:szCs w:val="20"/>
        </w:rPr>
        <w:t xml:space="preserve"> However</w:t>
      </w:r>
      <w:r w:rsidR="005453AE">
        <w:rPr>
          <w:sz w:val="20"/>
          <w:szCs w:val="20"/>
        </w:rPr>
        <w:t>,</w:t>
      </w:r>
      <w:r w:rsidR="006F5D75">
        <w:rPr>
          <w:sz w:val="20"/>
          <w:szCs w:val="20"/>
        </w:rPr>
        <w:t xml:space="preserve"> over the years, the NEM has evolved,</w:t>
      </w:r>
      <w:r w:rsidR="00F90F48" w:rsidRPr="00236E10">
        <w:rPr>
          <w:sz w:val="20"/>
          <w:szCs w:val="20"/>
        </w:rPr>
        <w:t xml:space="preserve"> and more intermittent generation </w:t>
      </w:r>
      <w:r w:rsidR="006F5D75">
        <w:rPr>
          <w:sz w:val="20"/>
          <w:szCs w:val="20"/>
        </w:rPr>
        <w:t xml:space="preserve">has been installed </w:t>
      </w:r>
      <w:r w:rsidR="006F5D75">
        <w:rPr>
          <w:sz w:val="20"/>
          <w:szCs w:val="20"/>
        </w:rPr>
        <w:lastRenderedPageBreak/>
        <w:t>in the</w:t>
      </w:r>
      <w:r w:rsidR="0072423E">
        <w:rPr>
          <w:sz w:val="20"/>
          <w:szCs w:val="20"/>
        </w:rPr>
        <w:t xml:space="preserve"> power</w:t>
      </w:r>
      <w:r w:rsidR="006F5D75">
        <w:rPr>
          <w:sz w:val="20"/>
          <w:szCs w:val="20"/>
        </w:rPr>
        <w:t xml:space="preserve"> system</w:t>
      </w:r>
      <w:r w:rsidR="005453AE">
        <w:rPr>
          <w:sz w:val="20"/>
          <w:szCs w:val="20"/>
        </w:rPr>
        <w:t>.</w:t>
      </w:r>
      <w:r w:rsidR="006F5D75">
        <w:rPr>
          <w:sz w:val="20"/>
          <w:szCs w:val="20"/>
        </w:rPr>
        <w:t xml:space="preserve"> </w:t>
      </w:r>
      <w:r w:rsidR="005453AE">
        <w:rPr>
          <w:sz w:val="20"/>
          <w:szCs w:val="20"/>
        </w:rPr>
        <w:t>T</w:t>
      </w:r>
      <w:r w:rsidR="00236E10" w:rsidRPr="00236E10">
        <w:rPr>
          <w:sz w:val="20"/>
          <w:szCs w:val="20"/>
        </w:rPr>
        <w:t xml:space="preserve">herefore, there is an urgent need to reassess the </w:t>
      </w:r>
      <w:r w:rsidR="005453AE">
        <w:rPr>
          <w:sz w:val="20"/>
          <w:szCs w:val="20"/>
        </w:rPr>
        <w:t xml:space="preserve">current MTPASA methodology to ensure </w:t>
      </w:r>
      <w:r w:rsidR="001026F5">
        <w:rPr>
          <w:sz w:val="20"/>
          <w:szCs w:val="20"/>
        </w:rPr>
        <w:t>AEMO’s</w:t>
      </w:r>
      <w:r w:rsidR="005453AE">
        <w:rPr>
          <w:sz w:val="20"/>
          <w:szCs w:val="20"/>
        </w:rPr>
        <w:t xml:space="preserve"> projection of power system adequacy</w:t>
      </w:r>
      <w:r w:rsidR="001808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two years ahead </w:t>
      </w:r>
      <w:r w:rsidR="001026F5">
        <w:rPr>
          <w:sz w:val="20"/>
          <w:szCs w:val="20"/>
        </w:rPr>
        <w:t>remain</w:t>
      </w:r>
      <w:r>
        <w:rPr>
          <w:sz w:val="20"/>
          <w:szCs w:val="20"/>
        </w:rPr>
        <w:t>s</w:t>
      </w:r>
      <w:r w:rsidR="001026F5">
        <w:rPr>
          <w:sz w:val="20"/>
          <w:szCs w:val="20"/>
        </w:rPr>
        <w:t xml:space="preserve"> accurate and relevant</w:t>
      </w:r>
      <w:r w:rsidR="00236E10" w:rsidRPr="00236E10">
        <w:rPr>
          <w:sz w:val="20"/>
          <w:szCs w:val="20"/>
        </w:rPr>
        <w:t xml:space="preserve">. </w:t>
      </w:r>
      <w:r w:rsidR="00B61ED6">
        <w:rPr>
          <w:sz w:val="20"/>
          <w:szCs w:val="20"/>
        </w:rPr>
        <w:t xml:space="preserve">Otherwise, there is a risk that </w:t>
      </w:r>
      <w:r w:rsidR="00B61ED6" w:rsidRPr="00B61ED6">
        <w:rPr>
          <w:sz w:val="20"/>
          <w:szCs w:val="20"/>
        </w:rPr>
        <w:t xml:space="preserve">stakeholders, or AEMO, </w:t>
      </w:r>
      <w:r w:rsidR="00B61ED6">
        <w:rPr>
          <w:sz w:val="20"/>
          <w:szCs w:val="20"/>
        </w:rPr>
        <w:t>may adversely react to, or make decisions whether or not to intervene</w:t>
      </w:r>
      <w:r w:rsidR="00B61ED6" w:rsidRPr="00B61ED6">
        <w:rPr>
          <w:sz w:val="20"/>
          <w:szCs w:val="20"/>
        </w:rPr>
        <w:t xml:space="preserve"> in the market</w:t>
      </w:r>
      <w:r w:rsidR="00B61ED6">
        <w:rPr>
          <w:sz w:val="20"/>
          <w:szCs w:val="20"/>
        </w:rPr>
        <w:t>,</w:t>
      </w:r>
      <w:r w:rsidR="00B61ED6" w:rsidRPr="00B61ED6">
        <w:rPr>
          <w:sz w:val="20"/>
          <w:szCs w:val="20"/>
        </w:rPr>
        <w:t xml:space="preserve"> based on incorrect information.</w:t>
      </w:r>
    </w:p>
    <w:p w:rsidR="001949A4" w:rsidRPr="001949A4" w:rsidRDefault="001949A4" w:rsidP="001949A4">
      <w:pPr>
        <w:pStyle w:val="BodyText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Participants </w:t>
      </w:r>
      <w:r w:rsidR="00E27F86">
        <w:rPr>
          <w:sz w:val="20"/>
          <w:szCs w:val="20"/>
        </w:rPr>
        <w:t>rely</w:t>
      </w:r>
      <w:r>
        <w:rPr>
          <w:sz w:val="20"/>
          <w:szCs w:val="20"/>
        </w:rPr>
        <w:t xml:space="preserve"> on publis</w:t>
      </w:r>
      <w:r w:rsidR="00AC0A32">
        <w:rPr>
          <w:sz w:val="20"/>
          <w:szCs w:val="20"/>
        </w:rPr>
        <w:t>hed MTPASA outcomes to schedule</w:t>
      </w:r>
      <w:r>
        <w:rPr>
          <w:sz w:val="20"/>
          <w:szCs w:val="20"/>
        </w:rPr>
        <w:t xml:space="preserve"> operations in the NEM. Therefore, it is imperative to i</w:t>
      </w:r>
      <w:r w:rsidRPr="001949A4">
        <w:rPr>
          <w:sz w:val="20"/>
          <w:szCs w:val="20"/>
        </w:rPr>
        <w:t>mprove the accu</w:t>
      </w:r>
      <w:r>
        <w:rPr>
          <w:sz w:val="20"/>
          <w:szCs w:val="20"/>
        </w:rPr>
        <w:t>racy and transparency of the MT</w:t>
      </w:r>
      <w:r w:rsidRPr="001949A4">
        <w:rPr>
          <w:sz w:val="20"/>
          <w:szCs w:val="20"/>
        </w:rPr>
        <w:t xml:space="preserve">PASA information, particularly around likelihood of future reliability standard breaches. </w:t>
      </w:r>
    </w:p>
    <w:p w:rsidR="00236E10" w:rsidRPr="00E92283" w:rsidRDefault="00236E10" w:rsidP="00236E10">
      <w:pPr>
        <w:pStyle w:val="BodyText"/>
        <w:numPr>
          <w:ilvl w:val="0"/>
          <w:numId w:val="6"/>
        </w:numPr>
        <w:spacing w:before="60" w:after="60"/>
        <w:rPr>
          <w:sz w:val="20"/>
          <w:szCs w:val="20"/>
        </w:rPr>
      </w:pPr>
      <w:r w:rsidRPr="00AB5306">
        <w:rPr>
          <w:sz w:val="20"/>
          <w:szCs w:val="20"/>
        </w:rPr>
        <w:t>AEMO considers reliability interventions</w:t>
      </w:r>
      <w:r w:rsidR="00C00BC2">
        <w:rPr>
          <w:sz w:val="20"/>
          <w:szCs w:val="20"/>
        </w:rPr>
        <w:t xml:space="preserve"> </w:t>
      </w:r>
      <w:r w:rsidR="00C361F2">
        <w:rPr>
          <w:sz w:val="20"/>
          <w:szCs w:val="20"/>
        </w:rPr>
        <w:t>(based</w:t>
      </w:r>
      <w:r w:rsidR="00C00BC2">
        <w:rPr>
          <w:sz w:val="20"/>
          <w:szCs w:val="20"/>
        </w:rPr>
        <w:t xml:space="preserve"> on published MTPASA outcomes)</w:t>
      </w:r>
      <w:r w:rsidRPr="00AB5306">
        <w:rPr>
          <w:sz w:val="20"/>
          <w:szCs w:val="20"/>
        </w:rPr>
        <w:t xml:space="preserve"> in the market very carefully as intervention is disruptive and expensive</w:t>
      </w:r>
      <w:r w:rsidR="006B2AD0">
        <w:rPr>
          <w:sz w:val="20"/>
          <w:szCs w:val="20"/>
        </w:rPr>
        <w:t xml:space="preserve">. </w:t>
      </w:r>
      <w:r w:rsidRPr="00AB5306">
        <w:rPr>
          <w:sz w:val="20"/>
          <w:szCs w:val="20"/>
        </w:rPr>
        <w:t xml:space="preserve">In comparison, </w:t>
      </w:r>
      <w:r>
        <w:rPr>
          <w:sz w:val="20"/>
          <w:szCs w:val="20"/>
        </w:rPr>
        <w:t>the costs of</w:t>
      </w:r>
      <w:r w:rsidRPr="00AB53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reviewing and </w:t>
      </w:r>
      <w:r w:rsidRPr="00AB5306">
        <w:rPr>
          <w:sz w:val="20"/>
          <w:szCs w:val="20"/>
        </w:rPr>
        <w:t>improv</w:t>
      </w:r>
      <w:r>
        <w:rPr>
          <w:sz w:val="20"/>
          <w:szCs w:val="20"/>
        </w:rPr>
        <w:t>ing</w:t>
      </w:r>
      <w:r w:rsidRPr="00AB5306">
        <w:rPr>
          <w:sz w:val="20"/>
          <w:szCs w:val="20"/>
        </w:rPr>
        <w:t xml:space="preserve"> the </w:t>
      </w:r>
      <w:r w:rsidR="00C00BC2">
        <w:rPr>
          <w:sz w:val="20"/>
          <w:szCs w:val="20"/>
        </w:rPr>
        <w:t xml:space="preserve">current </w:t>
      </w:r>
      <w:r w:rsidRPr="00AB5306">
        <w:rPr>
          <w:sz w:val="20"/>
          <w:szCs w:val="20"/>
        </w:rPr>
        <w:t xml:space="preserve">MTPASA tool </w:t>
      </w:r>
      <w:r w:rsidR="00C00BC2">
        <w:rPr>
          <w:sz w:val="20"/>
          <w:szCs w:val="20"/>
        </w:rPr>
        <w:t>are expected to</w:t>
      </w:r>
      <w:r>
        <w:rPr>
          <w:sz w:val="20"/>
          <w:szCs w:val="20"/>
        </w:rPr>
        <w:t xml:space="preserve"> be small. </w:t>
      </w:r>
    </w:p>
    <w:p w:rsidR="00236E10" w:rsidRDefault="00236E10" w:rsidP="00236E10">
      <w:pPr>
        <w:pStyle w:val="BodyText"/>
        <w:numPr>
          <w:ilvl w:val="0"/>
          <w:numId w:val="6"/>
        </w:num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Lastly, AEMO wants to ensure that </w:t>
      </w:r>
      <w:r w:rsidR="00473CBE">
        <w:rPr>
          <w:sz w:val="20"/>
          <w:szCs w:val="20"/>
        </w:rPr>
        <w:t>S</w:t>
      </w:r>
      <w:r>
        <w:rPr>
          <w:sz w:val="20"/>
          <w:szCs w:val="20"/>
        </w:rPr>
        <w:t xml:space="preserve">takeholders receive </w:t>
      </w:r>
      <w:r w:rsidR="00E27F86">
        <w:rPr>
          <w:sz w:val="20"/>
          <w:szCs w:val="20"/>
        </w:rPr>
        <w:t>accurate</w:t>
      </w:r>
      <w:r>
        <w:rPr>
          <w:sz w:val="20"/>
          <w:szCs w:val="20"/>
        </w:rPr>
        <w:t xml:space="preserve"> </w:t>
      </w:r>
      <w:r w:rsidR="00C13483">
        <w:rPr>
          <w:sz w:val="20"/>
          <w:szCs w:val="20"/>
        </w:rPr>
        <w:t>M</w:t>
      </w:r>
      <w:r>
        <w:rPr>
          <w:sz w:val="20"/>
          <w:szCs w:val="20"/>
        </w:rPr>
        <w:t>arket information at all times.</w:t>
      </w:r>
    </w:p>
    <w:p w:rsidR="00086E61" w:rsidRPr="00F90F48" w:rsidRDefault="00086E61" w:rsidP="00086E61">
      <w:pPr>
        <w:pStyle w:val="BodyText"/>
        <w:spacing w:before="60" w:after="60"/>
        <w:rPr>
          <w:strike/>
          <w:sz w:val="20"/>
          <w:szCs w:val="20"/>
        </w:rPr>
      </w:pPr>
    </w:p>
    <w:p w:rsidR="00F90F48" w:rsidRPr="00AB5306" w:rsidRDefault="00F90F48" w:rsidP="00F90F48">
      <w:pPr>
        <w:spacing w:after="0" w:line="240" w:lineRule="auto"/>
        <w:rPr>
          <w:b/>
          <w:sz w:val="20"/>
          <w:szCs w:val="20"/>
        </w:rPr>
      </w:pPr>
      <w:r w:rsidRPr="00AB5306">
        <w:rPr>
          <w:b/>
          <w:sz w:val="20"/>
          <w:szCs w:val="20"/>
        </w:rPr>
        <w:t>Will the outcome of the review affect stakeholders who use MTPASA data for their business?</w:t>
      </w:r>
    </w:p>
    <w:p w:rsidR="00F90F48" w:rsidRPr="00572555" w:rsidRDefault="00F90F48" w:rsidP="00F90F48">
      <w:pPr>
        <w:rPr>
          <w:sz w:val="4"/>
          <w:szCs w:val="4"/>
        </w:rPr>
      </w:pPr>
    </w:p>
    <w:p w:rsidR="00F90F48" w:rsidRDefault="00F90F48" w:rsidP="00F90F48">
      <w:pPr>
        <w:rPr>
          <w:sz w:val="20"/>
          <w:szCs w:val="20"/>
        </w:rPr>
      </w:pPr>
      <w:r>
        <w:rPr>
          <w:sz w:val="20"/>
          <w:szCs w:val="20"/>
        </w:rPr>
        <w:t>Participants make frequent use of AEMO’s Regional Availability Report</w:t>
      </w:r>
      <w:r w:rsidRPr="00974E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(the </w:t>
      </w:r>
      <w:r w:rsidRPr="00974EE9">
        <w:rPr>
          <w:sz w:val="20"/>
          <w:szCs w:val="20"/>
        </w:rPr>
        <w:t>thre</w:t>
      </w:r>
      <w:r>
        <w:rPr>
          <w:sz w:val="20"/>
          <w:szCs w:val="20"/>
        </w:rPr>
        <w:t>e–</w:t>
      </w:r>
      <w:r w:rsidRPr="00974EE9">
        <w:rPr>
          <w:sz w:val="20"/>
          <w:szCs w:val="20"/>
        </w:rPr>
        <w:t>hourly release</w:t>
      </w:r>
      <w:r>
        <w:rPr>
          <w:sz w:val="20"/>
          <w:szCs w:val="20"/>
        </w:rPr>
        <w:t xml:space="preserve"> of input data to PASA) as the major input for their operations</w:t>
      </w:r>
      <w:r w:rsidR="00352515">
        <w:rPr>
          <w:sz w:val="20"/>
          <w:szCs w:val="20"/>
        </w:rPr>
        <w:t>.</w:t>
      </w:r>
      <w:r w:rsidR="00CE5707">
        <w:rPr>
          <w:sz w:val="20"/>
          <w:szCs w:val="20"/>
        </w:rPr>
        <w:t xml:space="preserve"> It is worth noting that t</w:t>
      </w:r>
      <w:r>
        <w:rPr>
          <w:sz w:val="20"/>
          <w:szCs w:val="20"/>
        </w:rPr>
        <w:t>his review and any outcomes from it will not affect the Regional Availability Report</w:t>
      </w:r>
      <w:r w:rsidR="00C361F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079EA">
        <w:rPr>
          <w:sz w:val="20"/>
          <w:szCs w:val="20"/>
        </w:rPr>
        <w:t xml:space="preserve">although </w:t>
      </w:r>
      <w:r>
        <w:rPr>
          <w:sz w:val="20"/>
          <w:szCs w:val="20"/>
        </w:rPr>
        <w:t>suggestions to improve it</w:t>
      </w:r>
      <w:r w:rsidR="000079EA">
        <w:rPr>
          <w:sz w:val="20"/>
          <w:szCs w:val="20"/>
        </w:rPr>
        <w:t xml:space="preserve"> are welcomed.</w:t>
      </w:r>
    </w:p>
    <w:p w:rsidR="00F90F48" w:rsidRPr="00C76083" w:rsidRDefault="00F90F48" w:rsidP="00F90F48">
      <w:pPr>
        <w:rPr>
          <w:sz w:val="20"/>
          <w:szCs w:val="20"/>
        </w:rPr>
      </w:pPr>
      <w:r>
        <w:rPr>
          <w:sz w:val="20"/>
          <w:szCs w:val="20"/>
        </w:rPr>
        <w:t>It was unclear from the meeting whether the weekly MTPASA output data, being reserve calculations, is used in any business processes. One quantity that is published weekly – constrained capacity – is used. This however is actually an input quantity and should therefore be unaffected by this review.</w:t>
      </w:r>
      <w:r w:rsidR="000079EA">
        <w:rPr>
          <w:sz w:val="20"/>
          <w:szCs w:val="20"/>
        </w:rPr>
        <w:t xml:space="preserve"> There may be scope for AEMO to include this constrained capacity information in the Regional Availability Report in future.</w:t>
      </w:r>
    </w:p>
    <w:p w:rsidR="005E652D" w:rsidRDefault="005717B0"/>
    <w:sectPr w:rsidR="005E652D" w:rsidSect="00C212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1418" w:bottom="1701" w:left="1418" w:header="9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B0" w:rsidRDefault="005717B0">
      <w:pPr>
        <w:spacing w:after="0" w:line="240" w:lineRule="auto"/>
      </w:pPr>
      <w:r>
        <w:separator/>
      </w:r>
    </w:p>
  </w:endnote>
  <w:endnote w:type="continuationSeparator" w:id="0">
    <w:p w:rsidR="005717B0" w:rsidRDefault="0057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8" w:rsidRPr="007A46A0" w:rsidRDefault="005717B0" w:rsidP="00CA0C10">
    <w:pPr>
      <w:pStyle w:val="Footer"/>
      <w:tabs>
        <w:tab w:val="clear" w:pos="9072"/>
        <w:tab w:val="left" w:pos="0"/>
        <w:tab w:val="left" w:pos="8902"/>
        <w:tab w:val="left" w:pos="8931"/>
      </w:tabs>
    </w:pPr>
    <w:r>
      <w:fldChar w:fldCharType="begin"/>
    </w:r>
    <w:r>
      <w:instrText xml:space="preserve"> FILENAME  \* Upper </w:instrText>
    </w:r>
    <w:r>
      <w:fldChar w:fldCharType="separate"/>
    </w:r>
    <w:r w:rsidR="00104B40">
      <w:rPr>
        <w:caps w:val="0"/>
        <w:noProof/>
      </w:rPr>
      <w:t>Q AND A FOR MTPASA WORKSHOP HELD ON 30 MAY 2016</w:t>
    </w:r>
    <w:r>
      <w:rPr>
        <w:caps w:val="0"/>
        <w:noProof/>
      </w:rPr>
      <w:fldChar w:fldCharType="end"/>
    </w:r>
    <w:r w:rsidR="00FC616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8955BD4" wp14:editId="38955BD5">
              <wp:simplePos x="0" y="0"/>
              <wp:positionH relativeFrom="page">
                <wp:posOffset>720090</wp:posOffset>
              </wp:positionH>
              <wp:positionV relativeFrom="page">
                <wp:posOffset>10229850</wp:posOffset>
              </wp:positionV>
              <wp:extent cx="6271260" cy="9525"/>
              <wp:effectExtent l="5715" t="9525" r="9525" b="9525"/>
              <wp:wrapNone/>
              <wp:docPr id="3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1260" cy="9525"/>
                      </a:xfrm>
                      <a:custGeom>
                        <a:avLst/>
                        <a:gdLst>
                          <a:gd name="T0" fmla="*/ 0 w 9876"/>
                          <a:gd name="T1" fmla="*/ 15 h 15"/>
                          <a:gd name="T2" fmla="*/ 9876 w 9876"/>
                          <a:gd name="T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76" h="15">
                            <a:moveTo>
                              <a:pt x="0" y="15"/>
                            </a:moveTo>
                            <a:lnTo>
                              <a:pt x="9876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072256" id="Freeform 14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806.25pt,550.5pt,805.5pt" coordsize="9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" strokecolor="black [3213]" strokeweight=".4pt">
              <v:path arrowok="t" o:connecttype="custom" o:connectlocs="0,9525;6271260,0" o:connectangles="0,0"/>
              <w10:wrap anchorx="page" anchory="page"/>
              <w10:anchorlock/>
            </v:polyline>
          </w:pict>
        </mc:Fallback>
      </mc:AlternateContent>
    </w:r>
    <w:r w:rsidR="00FC6167" w:rsidRPr="007A46A0">
      <w:tab/>
    </w:r>
    <w:sdt>
      <w:sdtPr>
        <w:rPr>
          <w:color w:val="auto"/>
        </w:rPr>
        <w:id w:val="90292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9029255"/>
            <w:docPartObj>
              <w:docPartGallery w:val="Page Numbers (Top of Page)"/>
              <w:docPartUnique/>
            </w:docPartObj>
          </w:sdtPr>
          <w:sdtEndPr/>
          <w:sdtContent>
            <w:r w:rsidR="00FC6167" w:rsidRPr="0075491F">
              <w:rPr>
                <w:caps w:val="0"/>
              </w:rPr>
              <w:t xml:space="preserve">Page </w:t>
            </w:r>
            <w:r w:rsidR="00FC6167" w:rsidRPr="0075491F">
              <w:rPr>
                <w:caps w:val="0"/>
              </w:rPr>
              <w:fldChar w:fldCharType="begin"/>
            </w:r>
            <w:r w:rsidR="00FC6167" w:rsidRPr="0075491F">
              <w:rPr>
                <w:caps w:val="0"/>
              </w:rPr>
              <w:instrText xml:space="preserve"> PAGE </w:instrText>
            </w:r>
            <w:r w:rsidR="00FC6167" w:rsidRPr="0075491F">
              <w:rPr>
                <w:caps w:val="0"/>
              </w:rPr>
              <w:fldChar w:fldCharType="separate"/>
            </w:r>
            <w:r w:rsidR="00FC6167">
              <w:rPr>
                <w:caps w:val="0"/>
                <w:noProof/>
              </w:rPr>
              <w:t>2</w:t>
            </w:r>
            <w:r w:rsidR="00FC6167" w:rsidRPr="0075491F">
              <w:rPr>
                <w:caps w:val="0"/>
              </w:rPr>
              <w:fldChar w:fldCharType="end"/>
            </w:r>
            <w:r w:rsidR="00FC6167" w:rsidRPr="0075491F">
              <w:rPr>
                <w:caps w:val="0"/>
              </w:rPr>
              <w:t xml:space="preserve"> of </w:t>
            </w:r>
            <w:r w:rsidR="00FC6167" w:rsidRPr="0075491F">
              <w:rPr>
                <w:caps w:val="0"/>
              </w:rPr>
              <w:fldChar w:fldCharType="begin"/>
            </w:r>
            <w:r w:rsidR="00FC6167" w:rsidRPr="0075491F">
              <w:rPr>
                <w:caps w:val="0"/>
              </w:rPr>
              <w:instrText xml:space="preserve"> NUMPAGES  </w:instrText>
            </w:r>
            <w:r w:rsidR="00FC6167" w:rsidRPr="0075491F">
              <w:rPr>
                <w:caps w:val="0"/>
              </w:rPr>
              <w:fldChar w:fldCharType="separate"/>
            </w:r>
            <w:r w:rsidR="00104B40">
              <w:rPr>
                <w:caps w:val="0"/>
                <w:noProof/>
              </w:rPr>
              <w:t>2</w:t>
            </w:r>
            <w:r w:rsidR="00FC6167" w:rsidRPr="0075491F">
              <w:rPr>
                <w:caps w:val="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8" w:rsidRPr="00CF2090" w:rsidRDefault="005717B0" w:rsidP="009164F9">
    <w:pPr>
      <w:pStyle w:val="Footer"/>
      <w:tabs>
        <w:tab w:val="clear" w:pos="9072"/>
        <w:tab w:val="left" w:pos="0"/>
        <w:tab w:val="left" w:pos="7938"/>
      </w:tabs>
    </w:pPr>
    <w:r>
      <w:fldChar w:fldCharType="begin"/>
    </w:r>
    <w:r>
      <w:instrText xml:space="preserve"> FILENAME  \* Upper </w:instrText>
    </w:r>
    <w:r>
      <w:fldChar w:fldCharType="separate"/>
    </w:r>
    <w:r w:rsidR="00104B40">
      <w:rPr>
        <w:caps w:val="0"/>
        <w:noProof/>
      </w:rPr>
      <w:t>Q AND A FOR MTPASA WORKSHOP HELD ON 30 MAY 2016</w:t>
    </w:r>
    <w:r>
      <w:rPr>
        <w:caps w:val="0"/>
        <w:noProof/>
      </w:rPr>
      <w:fldChar w:fldCharType="end"/>
    </w:r>
    <w:r w:rsidR="00FC6167">
      <w:tab/>
    </w:r>
    <w:sdt>
      <w:sdtPr>
        <w:rPr>
          <w:color w:val="auto"/>
        </w:rPr>
        <w:id w:val="90292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9029257"/>
            <w:docPartObj>
              <w:docPartGallery w:val="Page Numbers (Top of Page)"/>
              <w:docPartUnique/>
            </w:docPartObj>
          </w:sdtPr>
          <w:sdtEndPr/>
          <w:sdtContent>
            <w:r w:rsidR="00FC6167" w:rsidRPr="00CF2090">
              <w:t xml:space="preserve">Page </w:t>
            </w:r>
            <w:r w:rsidR="00FC6167">
              <w:fldChar w:fldCharType="begin"/>
            </w:r>
            <w:r w:rsidR="00FC6167">
              <w:instrText xml:space="preserve"> PAGE </w:instrText>
            </w:r>
            <w:r w:rsidR="00FC6167">
              <w:fldChar w:fldCharType="separate"/>
            </w:r>
            <w:r w:rsidR="00FC71CB">
              <w:rPr>
                <w:noProof/>
              </w:rPr>
              <w:t>2</w:t>
            </w:r>
            <w:r w:rsidR="00FC6167">
              <w:rPr>
                <w:noProof/>
              </w:rPr>
              <w:fldChar w:fldCharType="end"/>
            </w:r>
            <w:r w:rsidR="00FC6167" w:rsidRPr="00CF2090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C71C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8" w:rsidRPr="00C212CC" w:rsidRDefault="005717B0" w:rsidP="00C212CC">
    <w:pPr>
      <w:pStyle w:val="Footer"/>
    </w:pPr>
    <w:r>
      <w:fldChar w:fldCharType="begin"/>
    </w:r>
    <w:r>
      <w:instrText xml:space="preserve"> FILENAME  \* Upper </w:instrText>
    </w:r>
    <w:r>
      <w:fldChar w:fldCharType="separate"/>
    </w:r>
    <w:r w:rsidR="00104B40">
      <w:rPr>
        <w:caps w:val="0"/>
        <w:noProof/>
      </w:rPr>
      <w:t>Q AND A FOR MTPASA WORKSHOP HELD ON 30 MAY 2016</w:t>
    </w:r>
    <w:r>
      <w:rPr>
        <w:caps w:val="0"/>
        <w:noProof/>
      </w:rPr>
      <w:fldChar w:fldCharType="end"/>
    </w:r>
    <w:r w:rsidR="00FC6167" w:rsidRPr="00C212CC">
      <w:tab/>
    </w:r>
    <w:sdt>
      <w:sdtPr>
        <w:rPr>
          <w:color w:val="auto"/>
        </w:rPr>
        <w:id w:val="90292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9029259"/>
            <w:docPartObj>
              <w:docPartGallery w:val="Page Numbers (Top of Page)"/>
              <w:docPartUnique/>
            </w:docPartObj>
          </w:sdtPr>
          <w:sdtEndPr/>
          <w:sdtContent>
            <w:r w:rsidR="00FC6167" w:rsidRPr="00C212CC">
              <w:t xml:space="preserve">Page </w:t>
            </w:r>
            <w:r w:rsidR="00FC6167">
              <w:fldChar w:fldCharType="begin"/>
            </w:r>
            <w:r w:rsidR="00FC6167">
              <w:instrText xml:space="preserve"> PAGE </w:instrText>
            </w:r>
            <w:r w:rsidR="00FC6167">
              <w:fldChar w:fldCharType="separate"/>
            </w:r>
            <w:r>
              <w:rPr>
                <w:noProof/>
              </w:rPr>
              <w:t>1</w:t>
            </w:r>
            <w:r w:rsidR="00FC6167">
              <w:rPr>
                <w:noProof/>
              </w:rPr>
              <w:fldChar w:fldCharType="end"/>
            </w:r>
            <w:r w:rsidR="00FC6167" w:rsidRPr="00C212CC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B0" w:rsidRDefault="005717B0">
      <w:pPr>
        <w:spacing w:after="0" w:line="240" w:lineRule="auto"/>
      </w:pPr>
      <w:r>
        <w:separator/>
      </w:r>
    </w:p>
  </w:footnote>
  <w:footnote w:type="continuationSeparator" w:id="0">
    <w:p w:rsidR="005717B0" w:rsidRDefault="005717B0">
      <w:pPr>
        <w:spacing w:after="0" w:line="240" w:lineRule="auto"/>
      </w:pPr>
      <w:r>
        <w:continuationSeparator/>
      </w:r>
    </w:p>
  </w:footnote>
  <w:footnote w:id="1">
    <w:p w:rsidR="00753F19" w:rsidRDefault="00753F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7DE">
        <w:rPr>
          <w:sz w:val="16"/>
          <w:szCs w:val="16"/>
        </w:rPr>
        <w:t>Identifying and quantifying any project</w:t>
      </w:r>
      <w:r w:rsidR="00142D99">
        <w:rPr>
          <w:sz w:val="16"/>
          <w:szCs w:val="16"/>
        </w:rPr>
        <w:t>ed failure to meet the Reliability S</w:t>
      </w:r>
      <w:r w:rsidRPr="002F77DE">
        <w:rPr>
          <w:sz w:val="16"/>
          <w:szCs w:val="16"/>
        </w:rPr>
        <w:t>tandard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8" w:rsidRDefault="00FC6167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8955BD0" wp14:editId="38955BD1">
          <wp:simplePos x="0" y="0"/>
          <wp:positionH relativeFrom="page">
            <wp:posOffset>5010150</wp:posOffset>
          </wp:positionH>
          <wp:positionV relativeFrom="page">
            <wp:posOffset>504825</wp:posOffset>
          </wp:positionV>
          <wp:extent cx="1990725" cy="657225"/>
          <wp:effectExtent l="19050" t="0" r="9525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8" w:rsidRDefault="00FC6167">
    <w:r w:rsidRPr="00221568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38955BD2" wp14:editId="38955BD3">
          <wp:simplePos x="0" y="0"/>
          <wp:positionH relativeFrom="page">
            <wp:posOffset>5048250</wp:posOffset>
          </wp:positionH>
          <wp:positionV relativeFrom="page">
            <wp:posOffset>485775</wp:posOffset>
          </wp:positionV>
          <wp:extent cx="1990725" cy="657225"/>
          <wp:effectExtent l="19050" t="0" r="9525" b="0"/>
          <wp:wrapNone/>
          <wp:docPr id="1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8" w:rsidRPr="00331250" w:rsidRDefault="00FC6167" w:rsidP="004E10BA">
    <w:pPr>
      <w:pStyle w:val="BodyText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8955BD6" wp14:editId="38955BD7">
          <wp:simplePos x="0" y="0"/>
          <wp:positionH relativeFrom="page">
            <wp:posOffset>5038725</wp:posOffset>
          </wp:positionH>
          <wp:positionV relativeFrom="page">
            <wp:posOffset>504825</wp:posOffset>
          </wp:positionV>
          <wp:extent cx="1990725" cy="657225"/>
          <wp:effectExtent l="19050" t="0" r="9525" b="0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E7D"/>
    <w:multiLevelType w:val="hybridMultilevel"/>
    <w:tmpl w:val="0DEC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60A"/>
    <w:multiLevelType w:val="hybridMultilevel"/>
    <w:tmpl w:val="51AE1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3648"/>
    <w:multiLevelType w:val="hybridMultilevel"/>
    <w:tmpl w:val="3A82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76FA"/>
    <w:multiLevelType w:val="hybridMultilevel"/>
    <w:tmpl w:val="6608C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73C"/>
    <w:multiLevelType w:val="hybridMultilevel"/>
    <w:tmpl w:val="8160E55C"/>
    <w:lvl w:ilvl="0" w:tplc="5EAC49DE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5228"/>
    <w:multiLevelType w:val="hybridMultilevel"/>
    <w:tmpl w:val="0E3208B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594A"/>
    <w:multiLevelType w:val="hybridMultilevel"/>
    <w:tmpl w:val="7172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146D0"/>
    <w:multiLevelType w:val="hybridMultilevel"/>
    <w:tmpl w:val="5C9435E6"/>
    <w:lvl w:ilvl="0" w:tplc="B66849FE">
      <w:start w:val="1"/>
      <w:numFmt w:val="decimal"/>
      <w:pStyle w:val="ListBullet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7"/>
    <w:rsid w:val="000079EA"/>
    <w:rsid w:val="0001515F"/>
    <w:rsid w:val="00042897"/>
    <w:rsid w:val="000704B5"/>
    <w:rsid w:val="000840F5"/>
    <w:rsid w:val="00086E61"/>
    <w:rsid w:val="001026F5"/>
    <w:rsid w:val="00104B40"/>
    <w:rsid w:val="001063F3"/>
    <w:rsid w:val="0011153C"/>
    <w:rsid w:val="00142D99"/>
    <w:rsid w:val="001808F1"/>
    <w:rsid w:val="00193BD8"/>
    <w:rsid w:val="001949A4"/>
    <w:rsid w:val="002105BA"/>
    <w:rsid w:val="00217940"/>
    <w:rsid w:val="0023045C"/>
    <w:rsid w:val="00236E10"/>
    <w:rsid w:val="00276D24"/>
    <w:rsid w:val="002A2F59"/>
    <w:rsid w:val="002E6C92"/>
    <w:rsid w:val="002F77DE"/>
    <w:rsid w:val="0032414C"/>
    <w:rsid w:val="00330B35"/>
    <w:rsid w:val="00352515"/>
    <w:rsid w:val="003D2A8B"/>
    <w:rsid w:val="003E78F8"/>
    <w:rsid w:val="00421E49"/>
    <w:rsid w:val="004479D3"/>
    <w:rsid w:val="00450659"/>
    <w:rsid w:val="00473CBE"/>
    <w:rsid w:val="00481183"/>
    <w:rsid w:val="004959FD"/>
    <w:rsid w:val="004F78EF"/>
    <w:rsid w:val="005119D0"/>
    <w:rsid w:val="00514D9F"/>
    <w:rsid w:val="005453AE"/>
    <w:rsid w:val="0056109B"/>
    <w:rsid w:val="00563591"/>
    <w:rsid w:val="00570C0B"/>
    <w:rsid w:val="005717B0"/>
    <w:rsid w:val="005A7EAB"/>
    <w:rsid w:val="005C6696"/>
    <w:rsid w:val="005F42F9"/>
    <w:rsid w:val="00622CC7"/>
    <w:rsid w:val="0062582F"/>
    <w:rsid w:val="00635ED6"/>
    <w:rsid w:val="00636962"/>
    <w:rsid w:val="0066112A"/>
    <w:rsid w:val="00663472"/>
    <w:rsid w:val="006B2AD0"/>
    <w:rsid w:val="006F5D75"/>
    <w:rsid w:val="0072423E"/>
    <w:rsid w:val="00732351"/>
    <w:rsid w:val="007364D5"/>
    <w:rsid w:val="00753F19"/>
    <w:rsid w:val="007871B8"/>
    <w:rsid w:val="007A2ED5"/>
    <w:rsid w:val="007A7C49"/>
    <w:rsid w:val="007F58EF"/>
    <w:rsid w:val="008C5D5F"/>
    <w:rsid w:val="008E436E"/>
    <w:rsid w:val="009260FD"/>
    <w:rsid w:val="009264A4"/>
    <w:rsid w:val="00937E7C"/>
    <w:rsid w:val="009411C6"/>
    <w:rsid w:val="00947858"/>
    <w:rsid w:val="0095513F"/>
    <w:rsid w:val="009B0FB1"/>
    <w:rsid w:val="009F4BF0"/>
    <w:rsid w:val="00A81E46"/>
    <w:rsid w:val="00AC0A32"/>
    <w:rsid w:val="00AF4B8B"/>
    <w:rsid w:val="00AF5CE1"/>
    <w:rsid w:val="00B01B22"/>
    <w:rsid w:val="00B12B05"/>
    <w:rsid w:val="00B14B61"/>
    <w:rsid w:val="00B50811"/>
    <w:rsid w:val="00B61600"/>
    <w:rsid w:val="00B61ED6"/>
    <w:rsid w:val="00B71CE4"/>
    <w:rsid w:val="00B76528"/>
    <w:rsid w:val="00BC2A94"/>
    <w:rsid w:val="00BD192C"/>
    <w:rsid w:val="00BD6055"/>
    <w:rsid w:val="00C00BC2"/>
    <w:rsid w:val="00C13483"/>
    <w:rsid w:val="00C361F2"/>
    <w:rsid w:val="00C63645"/>
    <w:rsid w:val="00C67240"/>
    <w:rsid w:val="00C76C54"/>
    <w:rsid w:val="00CE5707"/>
    <w:rsid w:val="00D26A5D"/>
    <w:rsid w:val="00D612BC"/>
    <w:rsid w:val="00DC10E1"/>
    <w:rsid w:val="00DD3F7F"/>
    <w:rsid w:val="00E27F86"/>
    <w:rsid w:val="00EB7F58"/>
    <w:rsid w:val="00EC1134"/>
    <w:rsid w:val="00EC24A9"/>
    <w:rsid w:val="00ED720F"/>
    <w:rsid w:val="00F04D96"/>
    <w:rsid w:val="00F64EDF"/>
    <w:rsid w:val="00F74B95"/>
    <w:rsid w:val="00F90F48"/>
    <w:rsid w:val="00FA1837"/>
    <w:rsid w:val="00FC6167"/>
    <w:rsid w:val="00FC71CB"/>
    <w:rsid w:val="00FE6D17"/>
    <w:rsid w:val="00FF3B7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3163-AF64-4428-B661-4EB4529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0F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0F48"/>
  </w:style>
  <w:style w:type="paragraph" w:styleId="Footer">
    <w:name w:val="footer"/>
    <w:basedOn w:val="Normal"/>
    <w:link w:val="FooterChar"/>
    <w:uiPriority w:val="99"/>
    <w:rsid w:val="00F90F48"/>
    <w:pPr>
      <w:pBdr>
        <w:top w:val="single" w:sz="4" w:space="1" w:color="948671"/>
      </w:pBdr>
      <w:tabs>
        <w:tab w:val="right" w:pos="9072"/>
      </w:tabs>
      <w:spacing w:line="180" w:lineRule="exact"/>
    </w:pPr>
    <w:rPr>
      <w:caps/>
      <w:color w:val="948671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90F48"/>
    <w:rPr>
      <w:caps/>
      <w:color w:val="948671"/>
      <w:sz w:val="15"/>
    </w:rPr>
  </w:style>
  <w:style w:type="paragraph" w:styleId="ListBullet2">
    <w:name w:val="List Bullet 2"/>
    <w:basedOn w:val="ListBullet"/>
    <w:rsid w:val="00F90F48"/>
    <w:pPr>
      <w:numPr>
        <w:numId w:val="1"/>
      </w:numPr>
      <w:tabs>
        <w:tab w:val="clear" w:pos="1072"/>
        <w:tab w:val="num" w:pos="360"/>
      </w:tabs>
      <w:spacing w:before="120" w:after="120"/>
      <w:ind w:left="360" w:hanging="360"/>
      <w:contextualSpacing w:val="0"/>
    </w:pPr>
  </w:style>
  <w:style w:type="paragraph" w:styleId="BodyText">
    <w:name w:val="Body Text"/>
    <w:basedOn w:val="Normal"/>
    <w:link w:val="BodyTextChar"/>
    <w:rsid w:val="00F90F4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F90F48"/>
  </w:style>
  <w:style w:type="paragraph" w:styleId="ListBullet">
    <w:name w:val="List Bullet"/>
    <w:basedOn w:val="Normal"/>
    <w:uiPriority w:val="99"/>
    <w:semiHidden/>
    <w:unhideWhenUsed/>
    <w:rsid w:val="00F90F48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086E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3F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F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3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upporthub@aemo.com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PLAN-30-11423</_dlc_DocId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TaxCatchAll xmlns="a14523ce-dede-483e-883a-2d83261080bd">
      <Value>1</Value>
    </TaxCatchAll>
    <_dlc_DocIdUrl xmlns="a14523ce-dede-483e-883a-2d83261080bd">
      <Url>http://sharedocs/sites/planning/mm/_layouts/15/DocIdRedir.aspx?ID=PLAN-30-11423</Url>
      <Description>PLAN-30-11423</Description>
    </_dlc_DocIdUrl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KeywordsTaxHTField0 xmlns="a14523ce-dede-483e-883a-2d83261080bd">
      <Terms xmlns="http://schemas.microsoft.com/office/infopath/2007/PartnerControls"/>
    </AEMOKeywordsTaxHTField0>
    <AEMODescription xmlns="a14523ce-dede-483e-883a-2d8326108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4246FF1388522428C7968B0FEFBE50F" ma:contentTypeVersion="53" ma:contentTypeDescription="" ma:contentTypeScope="" ma:versionID="fb3c2175fa5be320fa17dd2c1d2a1006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31f27e65e34968d7833e23fe8e1b9bca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27c3884c-0431-4940-be6c-c788be41e200}" ma:internalName="TaxCatchAll" ma:showField="CatchAllData" ma:web="51ac4e04-0f7f-4421-8443-217e98103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7c3884c-0431-4940-be6c-c788be41e200}" ma:internalName="TaxCatchAllLabel" ma:readOnly="true" ma:showField="CatchAllDataLabel" ma:web="51ac4e04-0f7f-4421-8443-217e98103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4CFA-B59E-43C6-9BCB-B6530CAE684D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2.xml><?xml version="1.0" encoding="utf-8"?>
<ds:datastoreItem xmlns:ds="http://schemas.openxmlformats.org/officeDocument/2006/customXml" ds:itemID="{74D47445-7F64-4919-A670-E309C7CB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D7943-D47A-4A5F-904B-FC3CAE56AD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10BFE1-88E1-467D-A8EE-C0DE0F883E6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94A02DE-DF46-4888-8A4D-545E1871CD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799E01-401D-45F5-B47F-6072F411CC1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8A7D6AE-8385-40AD-84EB-30307BA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Rimjhim Kapoor</dc:creator>
  <cp:keywords/>
  <dc:description/>
  <cp:lastModifiedBy>Felicity Bodger</cp:lastModifiedBy>
  <cp:revision>1</cp:revision>
  <cp:lastPrinted>2016-06-08T06:52:00Z</cp:lastPrinted>
  <dcterms:created xsi:type="dcterms:W3CDTF">2016-10-13T00:09:00Z</dcterms:created>
  <dcterms:modified xsi:type="dcterms:W3CDTF">2016-10-13T00:09:00Z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d6058642-ec6b-4a4c-8fdd-8974d137721c</vt:lpwstr>
  </property>
  <property fmtid="{D5CDD505-2E9C-101B-9397-08002B2CF9AE}" pid="3" name="ContentTypeId">
    <vt:lpwstr>0x0101009BE89D58CAF0934CA32A20BCFFD353DC0024246FF1388522428C7968B0FEFBE50F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